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E5A11">
      <w:pPr>
        <w:spacing w:beforeLines="100"/>
        <w:ind w:firstLine="0" w:firstLineChars="0"/>
        <w:jc w:val="center"/>
        <w:outlineLvl w:val="0"/>
        <w:rPr>
          <w:rFonts w:hint="eastAsia" w:cs="仿宋"/>
          <w:b/>
          <w:bCs/>
          <w:sz w:val="40"/>
          <w:szCs w:val="40"/>
          <w:lang w:eastAsia="zh-CN"/>
        </w:rPr>
      </w:pPr>
      <w:r>
        <w:rPr>
          <w:rFonts w:hint="eastAsia" w:cs="仿宋"/>
          <w:b/>
          <w:bCs/>
          <w:sz w:val="40"/>
          <w:szCs w:val="40"/>
          <w:lang w:eastAsia="zh-CN"/>
        </w:rPr>
        <w:t>什邡市城乡供水保障项目（二期）</w:t>
      </w:r>
    </w:p>
    <w:p w14:paraId="039412F9">
      <w:pPr>
        <w:spacing w:beforeLines="100"/>
        <w:ind w:firstLine="0" w:firstLineChars="0"/>
        <w:jc w:val="center"/>
        <w:outlineLvl w:val="0"/>
        <w:rPr>
          <w:rFonts w:cs="仿宋"/>
          <w:b/>
          <w:bCs/>
          <w:sz w:val="40"/>
          <w:szCs w:val="40"/>
        </w:rPr>
      </w:pPr>
      <w:r>
        <w:rPr>
          <w:rFonts w:hint="eastAsia" w:cs="仿宋"/>
          <w:b/>
          <w:bCs/>
          <w:sz w:val="40"/>
          <w:szCs w:val="40"/>
          <w:lang w:eastAsia="zh-CN"/>
        </w:rPr>
        <w:t>项目</w:t>
      </w:r>
      <w:r>
        <w:rPr>
          <w:rFonts w:hint="eastAsia" w:cs="仿宋"/>
          <w:b/>
          <w:bCs/>
          <w:sz w:val="40"/>
          <w:szCs w:val="40"/>
        </w:rPr>
        <w:t>情况</w:t>
      </w:r>
    </w:p>
    <w:p w14:paraId="6FCCA054">
      <w:pPr>
        <w:snapToGrid w:val="0"/>
        <w:spacing w:beforeLines="100"/>
        <w:ind w:firstLine="643"/>
        <w:outlineLvl w:val="0"/>
        <w:rPr>
          <w:rFonts w:cs="仿宋"/>
          <w:b/>
          <w:bCs/>
          <w:sz w:val="28"/>
          <w:szCs w:val="28"/>
        </w:rPr>
      </w:pPr>
      <w:r>
        <w:rPr>
          <w:rFonts w:hint="eastAsia" w:cs="仿宋"/>
          <w:b/>
          <w:bCs/>
          <w:sz w:val="28"/>
          <w:szCs w:val="28"/>
        </w:rPr>
        <w:t>一、项目基本情况</w:t>
      </w:r>
    </w:p>
    <w:p w14:paraId="6E36692C">
      <w:pPr>
        <w:ind w:firstLine="643"/>
        <w:outlineLvl w:val="1"/>
        <w:rPr>
          <w:rFonts w:cs="仿宋"/>
          <w:b/>
          <w:sz w:val="28"/>
          <w:szCs w:val="28"/>
        </w:rPr>
      </w:pPr>
      <w:r>
        <w:rPr>
          <w:rFonts w:hint="eastAsia" w:cs="仿宋"/>
          <w:b/>
          <w:sz w:val="28"/>
          <w:szCs w:val="28"/>
        </w:rPr>
        <w:t>（一）</w:t>
      </w:r>
      <w:r>
        <w:rPr>
          <w:rFonts w:hint="eastAsia" w:cs="仿宋"/>
          <w:b/>
          <w:sz w:val="28"/>
          <w:szCs w:val="28"/>
          <w:lang w:val="en-US" w:eastAsia="zh-CN"/>
        </w:rPr>
        <w:t>省</w:t>
      </w:r>
      <w:r>
        <w:rPr>
          <w:rFonts w:hint="eastAsia" w:cs="仿宋"/>
          <w:b/>
          <w:sz w:val="28"/>
          <w:szCs w:val="28"/>
        </w:rPr>
        <w:t>市县及行业专项规划概况</w:t>
      </w:r>
    </w:p>
    <w:p w14:paraId="2AB2A8A5">
      <w:pPr>
        <w:pStyle w:val="6"/>
        <w:bidi w:val="0"/>
        <w:spacing w:line="360" w:lineRule="auto"/>
        <w:ind w:left="-227" w:leftChars="0" w:firstLineChars="0"/>
        <w:rPr>
          <w:rFonts w:hint="eastAsia" w:ascii="仿宋" w:hAnsi="仿宋" w:eastAsia="仿宋" w:cs="仿宋"/>
        </w:rPr>
      </w:pPr>
      <w:bookmarkStart w:id="0" w:name="_Toc31225"/>
      <w:bookmarkStart w:id="1" w:name="bookmark113"/>
      <w:bookmarkStart w:id="2" w:name="bookmark114"/>
      <w:bookmarkStart w:id="3" w:name="bookmark115"/>
      <w:bookmarkStart w:id="4" w:name="bookmark117"/>
      <w:r>
        <w:rPr>
          <w:rFonts w:hint="eastAsia" w:ascii="仿宋" w:hAnsi="仿宋" w:eastAsia="仿宋" w:cs="仿宋"/>
          <w:lang w:val="en-US" w:eastAsia="zh-CN"/>
        </w:rPr>
        <w:t>1.</w:t>
      </w:r>
      <w:r>
        <w:rPr>
          <w:rFonts w:hint="eastAsia" w:ascii="仿宋" w:hAnsi="仿宋" w:eastAsia="仿宋" w:cs="仿宋"/>
        </w:rPr>
        <w:t>四川省行业发展规划</w:t>
      </w:r>
      <w:bookmarkEnd w:id="0"/>
      <w:bookmarkEnd w:id="1"/>
      <w:bookmarkEnd w:id="2"/>
      <w:bookmarkEnd w:id="3"/>
      <w:bookmarkEnd w:id="4"/>
    </w:p>
    <w:p w14:paraId="5A23BA82">
      <w:pPr>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仿宋" w:hAnsi="仿宋" w:eastAsia="仿宋" w:cs="仿宋"/>
          <w:sz w:val="28"/>
          <w:szCs w:val="28"/>
          <w:lang w:val="en-US" w:eastAsia="en-US"/>
        </w:rPr>
      </w:pPr>
      <w:r>
        <w:rPr>
          <w:rFonts w:hint="eastAsia" w:ascii="仿宋" w:hAnsi="仿宋" w:eastAsia="仿宋" w:cs="仿宋"/>
          <w:sz w:val="28"/>
          <w:szCs w:val="28"/>
          <w:lang w:val="en-US" w:eastAsia="en-US"/>
        </w:rPr>
        <w:t>为推动城市环境基础设施建设发展，依据《四川省国民经济和社会发展第十</w:t>
      </w:r>
      <w:r>
        <w:rPr>
          <w:rFonts w:hint="eastAsia" w:cs="仿宋"/>
          <w:sz w:val="28"/>
          <w:szCs w:val="28"/>
          <w:lang w:val="en-US" w:eastAsia="zh-CN"/>
        </w:rPr>
        <w:t>四</w:t>
      </w:r>
      <w:r>
        <w:rPr>
          <w:rFonts w:hint="eastAsia" w:ascii="仿宋" w:hAnsi="仿宋" w:eastAsia="仿宋" w:cs="仿宋"/>
          <w:sz w:val="28"/>
          <w:szCs w:val="28"/>
          <w:lang w:val="en-US" w:eastAsia="en-US"/>
        </w:rPr>
        <w:t>个五年规划纲要》</w:t>
      </w:r>
      <w:r>
        <w:rPr>
          <w:rFonts w:hint="eastAsia" w:cs="仿宋"/>
          <w:sz w:val="28"/>
          <w:szCs w:val="28"/>
          <w:lang w:val="en-US" w:eastAsia="zh-CN"/>
        </w:rPr>
        <w:t>，</w:t>
      </w:r>
      <w:r>
        <w:rPr>
          <w:rFonts w:hint="eastAsia" w:cs="仿宋"/>
          <w:b w:val="0"/>
          <w:bCs w:val="0"/>
          <w:sz w:val="28"/>
          <w:szCs w:val="28"/>
          <w:lang w:val="en-US" w:eastAsia="zh-CN"/>
        </w:rPr>
        <w:t>明确</w:t>
      </w:r>
      <w:r>
        <w:rPr>
          <w:rFonts w:hint="eastAsia" w:ascii="仿宋" w:hAnsi="仿宋" w:eastAsia="仿宋" w:cs="仿宋"/>
          <w:b w:val="0"/>
          <w:bCs w:val="0"/>
          <w:sz w:val="28"/>
          <w:szCs w:val="28"/>
          <w:lang w:val="en-US" w:eastAsia="zh-CN"/>
        </w:rPr>
        <w:t>加强水利基础设施建设</w:t>
      </w:r>
      <w:r>
        <w:rPr>
          <w:rFonts w:hint="eastAsia" w:ascii="仿宋" w:hAnsi="仿宋" w:eastAsia="仿宋" w:cs="仿宋"/>
          <w:b w:val="0"/>
          <w:bCs w:val="0"/>
          <w:sz w:val="28"/>
          <w:szCs w:val="28"/>
          <w:lang w:val="en-US" w:eastAsia="en-US"/>
        </w:rPr>
        <w:t>。</w:t>
      </w:r>
    </w:p>
    <w:p w14:paraId="490D522C">
      <w:pPr>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en-US"/>
        </w:rPr>
        <w:t>《规划》明确</w:t>
      </w:r>
      <w:r>
        <w:rPr>
          <w:rFonts w:hint="eastAsia" w:cs="仿宋"/>
          <w:sz w:val="28"/>
          <w:szCs w:val="28"/>
          <w:lang w:val="en-US" w:eastAsia="zh-CN"/>
        </w:rPr>
        <w:t>：</w:t>
      </w:r>
    </w:p>
    <w:p w14:paraId="5B693956">
      <w:pPr>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2" w:firstLineChars="200"/>
        <w:jc w:val="left"/>
        <w:textAlignment w:val="auto"/>
        <w:outlineLvl w:val="9"/>
        <w:rPr>
          <w:rFonts w:hint="eastAsia" w:ascii="仿宋" w:hAnsi="仿宋" w:eastAsia="仿宋" w:cs="仿宋"/>
          <w:b/>
          <w:bCs/>
          <w:sz w:val="28"/>
          <w:szCs w:val="28"/>
          <w:lang w:val="en-US" w:eastAsia="en-US"/>
        </w:rPr>
      </w:pPr>
      <w:r>
        <w:rPr>
          <w:rFonts w:hint="eastAsia" w:ascii="仿宋" w:hAnsi="仿宋" w:eastAsia="仿宋" w:cs="仿宋"/>
          <w:b/>
          <w:bCs/>
          <w:sz w:val="28"/>
          <w:szCs w:val="28"/>
          <w:lang w:val="en-US" w:eastAsia="zh-CN"/>
        </w:rPr>
        <w:t> 促进水资源高效利用</w:t>
      </w:r>
    </w:p>
    <w:p w14:paraId="10676EA2">
      <w:pPr>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仿宋" w:hAnsi="仿宋" w:eastAsia="仿宋" w:cs="仿宋"/>
          <w:sz w:val="28"/>
          <w:szCs w:val="28"/>
          <w:lang w:val="en-US" w:eastAsia="en-US"/>
        </w:rPr>
      </w:pPr>
      <w:r>
        <w:rPr>
          <w:rFonts w:hint="eastAsia" w:ascii="仿宋" w:hAnsi="仿宋" w:eastAsia="仿宋" w:cs="仿宋"/>
          <w:sz w:val="28"/>
          <w:szCs w:val="28"/>
          <w:lang w:val="en-US" w:eastAsia="zh-CN"/>
        </w:rPr>
        <w:t>实行最严格水资源管理制度，严格取水许可。实施节水行动，加强农业节水增效、工业节水减排、城镇节水降损，推进县域节水型社会达标建设。完善水资源监测体系，强化水资源统一调度。统筹企业和园区供排水、水处理及循环利用设施建设，推动企业间用水系统集成优化。推广海绵城市建设模式，</w:t>
      </w:r>
      <w:r>
        <w:rPr>
          <w:rFonts w:hint="eastAsia" w:ascii="仿宋" w:hAnsi="仿宋" w:eastAsia="仿宋" w:cs="仿宋"/>
          <w:b/>
          <w:bCs/>
          <w:sz w:val="28"/>
          <w:szCs w:val="28"/>
          <w:lang w:val="en-US" w:eastAsia="zh-CN"/>
        </w:rPr>
        <w:t>加快城镇供水管网以及污水再生利用设施改造</w:t>
      </w:r>
      <w:r>
        <w:rPr>
          <w:rFonts w:hint="eastAsia" w:ascii="仿宋" w:hAnsi="仿宋" w:eastAsia="仿宋" w:cs="仿宋"/>
          <w:sz w:val="28"/>
          <w:szCs w:val="28"/>
          <w:lang w:val="en-US" w:eastAsia="zh-CN"/>
        </w:rPr>
        <w:t>。深入推进农业水价综合改革，配套建设计量设施，健全节水激励机制。</w:t>
      </w:r>
    </w:p>
    <w:p w14:paraId="1A96D904">
      <w:pPr>
        <w:pStyle w:val="6"/>
        <w:bidi w:val="0"/>
        <w:spacing w:line="360" w:lineRule="auto"/>
        <w:ind w:left="-227" w:leftChars="0" w:firstLineChars="0"/>
        <w:rPr>
          <w:rFonts w:hint="eastAsia" w:ascii="仿宋" w:hAnsi="仿宋" w:eastAsia="仿宋" w:cs="仿宋"/>
        </w:rPr>
      </w:pPr>
      <w:bookmarkStart w:id="5" w:name="bookmark121"/>
      <w:bookmarkEnd w:id="5"/>
      <w:bookmarkStart w:id="6" w:name="_Toc6657"/>
      <w:bookmarkStart w:id="7" w:name="bookmark119"/>
      <w:bookmarkStart w:id="8" w:name="bookmark120"/>
      <w:bookmarkStart w:id="9" w:name="bookmark118"/>
      <w:bookmarkStart w:id="10" w:name="bookmark122"/>
      <w:r>
        <w:rPr>
          <w:rFonts w:hint="eastAsia" w:cs="仿宋"/>
          <w:lang w:val="en-US" w:eastAsia="zh-CN"/>
        </w:rPr>
        <w:t>2.</w:t>
      </w:r>
      <w:r>
        <w:rPr>
          <w:rFonts w:hint="eastAsia" w:ascii="仿宋" w:hAnsi="仿宋" w:eastAsia="仿宋" w:cs="仿宋"/>
          <w:lang w:val="en-US" w:eastAsia="zh-CN"/>
        </w:rPr>
        <w:t>德阳</w:t>
      </w:r>
      <w:r>
        <w:rPr>
          <w:rFonts w:hint="eastAsia" w:ascii="仿宋" w:hAnsi="仿宋" w:eastAsia="仿宋" w:cs="仿宋"/>
        </w:rPr>
        <w:t>市行业发展规划</w:t>
      </w:r>
      <w:bookmarkEnd w:id="6"/>
      <w:bookmarkEnd w:id="7"/>
      <w:bookmarkEnd w:id="8"/>
      <w:bookmarkEnd w:id="9"/>
      <w:bookmarkEnd w:id="10"/>
    </w:p>
    <w:p w14:paraId="6A224AD9">
      <w:pPr>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仿宋" w:hAnsi="仿宋" w:eastAsia="仿宋" w:cs="仿宋"/>
          <w:sz w:val="28"/>
          <w:szCs w:val="28"/>
          <w:lang w:val="en-US" w:eastAsia="en-US"/>
        </w:rPr>
      </w:pPr>
      <w:r>
        <w:rPr>
          <w:rFonts w:hint="eastAsia" w:ascii="仿宋" w:hAnsi="仿宋" w:eastAsia="仿宋" w:cs="仿宋"/>
          <w:sz w:val="28"/>
          <w:szCs w:val="28"/>
          <w:lang w:val="en-US" w:eastAsia="en-US"/>
        </w:rPr>
        <w:t>为推动什加市基础设施建设，改善城市面貌，提升城市品质。根据党的十八大及十八届三中、四中、五中全会精神和《四川省国民经济和社会发展第十</w:t>
      </w:r>
      <w:r>
        <w:rPr>
          <w:rFonts w:hint="eastAsia" w:cs="仿宋"/>
          <w:sz w:val="28"/>
          <w:szCs w:val="28"/>
          <w:lang w:val="en-US" w:eastAsia="zh-CN"/>
        </w:rPr>
        <w:t>四</w:t>
      </w:r>
      <w:r>
        <w:rPr>
          <w:rFonts w:hint="eastAsia" w:ascii="仿宋" w:hAnsi="仿宋" w:eastAsia="仿宋" w:cs="仿宋"/>
          <w:sz w:val="28"/>
          <w:szCs w:val="28"/>
          <w:lang w:val="en-US" w:eastAsia="en-US"/>
        </w:rPr>
        <w:t>个五年规划纲要》、《</w:t>
      </w:r>
      <w:r>
        <w:rPr>
          <w:rFonts w:hint="eastAsia" w:cs="仿宋"/>
          <w:sz w:val="28"/>
          <w:szCs w:val="28"/>
          <w:lang w:val="en-US" w:eastAsia="zh-CN"/>
        </w:rPr>
        <w:t>德阳</w:t>
      </w:r>
      <w:r>
        <w:rPr>
          <w:rFonts w:hint="eastAsia" w:ascii="仿宋" w:hAnsi="仿宋" w:eastAsia="仿宋" w:cs="仿宋"/>
          <w:sz w:val="28"/>
          <w:szCs w:val="28"/>
          <w:lang w:val="en-US" w:eastAsia="en-US"/>
        </w:rPr>
        <w:t>市国民经济和社会发展第十</w:t>
      </w:r>
      <w:r>
        <w:rPr>
          <w:rFonts w:hint="eastAsia" w:cs="仿宋"/>
          <w:sz w:val="28"/>
          <w:szCs w:val="28"/>
          <w:lang w:val="en-US" w:eastAsia="zh-CN"/>
        </w:rPr>
        <w:t>四</w:t>
      </w:r>
      <w:r>
        <w:rPr>
          <w:rFonts w:hint="eastAsia" w:ascii="仿宋" w:hAnsi="仿宋" w:eastAsia="仿宋" w:cs="仿宋"/>
          <w:sz w:val="28"/>
          <w:szCs w:val="28"/>
          <w:lang w:val="en-US" w:eastAsia="en-US"/>
        </w:rPr>
        <w:t>个五年规划纲要》精神，以及各级党委、政府、主管部门系列方针政策，结合老旧小区基础设施实际，制定本规划。</w:t>
      </w:r>
    </w:p>
    <w:p w14:paraId="75257E5D">
      <w:pPr>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仿宋" w:hAnsi="仿宋" w:eastAsia="仿宋" w:cs="仿宋"/>
          <w:sz w:val="28"/>
          <w:szCs w:val="28"/>
          <w:lang w:val="en-US" w:eastAsia="en-US"/>
        </w:rPr>
      </w:pPr>
      <w:r>
        <w:rPr>
          <w:rFonts w:hint="eastAsia" w:ascii="仿宋" w:hAnsi="仿宋" w:eastAsia="仿宋" w:cs="仿宋"/>
          <w:sz w:val="28"/>
          <w:szCs w:val="28"/>
          <w:lang w:val="en-US" w:eastAsia="en-US"/>
        </w:rPr>
        <w:t>《规划》明确，完善现代基础设施体系。</w:t>
      </w:r>
      <w:r>
        <w:rPr>
          <w:rFonts w:hint="eastAsia" w:ascii="仿宋" w:hAnsi="仿宋" w:eastAsia="仿宋" w:cs="仿宋"/>
          <w:b/>
          <w:bCs/>
          <w:sz w:val="28"/>
          <w:szCs w:val="28"/>
          <w:lang w:val="en-US" w:eastAsia="en-US"/>
        </w:rPr>
        <w:t>建设一批重大水利工程，提升水资源保障能力和水旱灾害防御能力</w:t>
      </w:r>
      <w:r>
        <w:rPr>
          <w:rFonts w:hint="eastAsia" w:ascii="仿宋" w:hAnsi="仿宋" w:eastAsia="仿宋" w:cs="仿宋"/>
          <w:sz w:val="28"/>
          <w:szCs w:val="28"/>
          <w:lang w:val="en-US" w:eastAsia="en-US"/>
        </w:rPr>
        <w:t>。系统推进电力、油气、新能源等综合开发利用，抓好能源提质保供。加快水利设施建设。</w:t>
      </w:r>
    </w:p>
    <w:p w14:paraId="624247BB">
      <w:pPr>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仿宋" w:hAnsi="仿宋" w:eastAsia="仿宋" w:cs="仿宋"/>
          <w:sz w:val="28"/>
          <w:szCs w:val="28"/>
          <w:lang w:val="en-US" w:eastAsia="en-US"/>
        </w:rPr>
      </w:pPr>
      <w:r>
        <w:rPr>
          <w:rFonts w:hint="eastAsia" w:ascii="仿宋" w:hAnsi="仿宋" w:eastAsia="仿宋" w:cs="仿宋"/>
          <w:sz w:val="28"/>
          <w:szCs w:val="28"/>
          <w:lang w:val="en-US" w:eastAsia="en-US"/>
        </w:rPr>
        <w:t>《规划》提出，推进农村饮水安全工程。坚持集中供水和分散供水相结合的原则，全面推进农村饮水安全工程。</w:t>
      </w:r>
      <w:r>
        <w:rPr>
          <w:rFonts w:hint="eastAsia" w:ascii="仿宋" w:hAnsi="仿宋" w:eastAsia="仿宋" w:cs="仿宋"/>
          <w:b/>
          <w:bCs/>
          <w:sz w:val="28"/>
          <w:szCs w:val="28"/>
          <w:lang w:val="en-US" w:eastAsia="en-US"/>
        </w:rPr>
        <w:t>完善供水站、蓄水池、泵房及管网延伸改造等供水设施，切实解决农村饮水困难</w:t>
      </w:r>
      <w:r>
        <w:rPr>
          <w:rFonts w:hint="eastAsia" w:ascii="仿宋" w:hAnsi="仿宋" w:eastAsia="仿宋" w:cs="仿宋"/>
          <w:sz w:val="28"/>
          <w:szCs w:val="28"/>
          <w:lang w:val="en-US" w:eastAsia="en-US"/>
        </w:rPr>
        <w:t>。加快渠道硬化、渠道防渗、涵闸改造、塘堰整治等水利血防工程，消灭钉螺滋生场所，防止血吸虫病的发生，确保饮水清洁安全。</w:t>
      </w:r>
    </w:p>
    <w:p w14:paraId="1CA90BA1">
      <w:pPr>
        <w:pStyle w:val="6"/>
        <w:bidi w:val="0"/>
        <w:spacing w:line="360" w:lineRule="auto"/>
        <w:ind w:left="-227" w:leftChars="0" w:firstLineChars="0"/>
        <w:rPr>
          <w:rFonts w:hint="eastAsia" w:ascii="仿宋" w:hAnsi="仿宋" w:eastAsia="仿宋" w:cs="仿宋"/>
        </w:rPr>
      </w:pPr>
      <w:r>
        <w:rPr>
          <w:rFonts w:hint="eastAsia" w:cs="仿宋"/>
          <w:lang w:val="en-US" w:eastAsia="zh-CN"/>
        </w:rPr>
        <w:t>3.</w:t>
      </w:r>
      <w:r>
        <w:rPr>
          <w:rFonts w:hint="eastAsia" w:ascii="仿宋" w:hAnsi="仿宋" w:eastAsia="仿宋" w:cs="仿宋"/>
          <w:lang w:val="en-US" w:eastAsia="zh-CN"/>
        </w:rPr>
        <w:t>什邡</w:t>
      </w:r>
      <w:r>
        <w:rPr>
          <w:rFonts w:hint="eastAsia" w:ascii="仿宋" w:hAnsi="仿宋" w:eastAsia="仿宋" w:cs="仿宋"/>
        </w:rPr>
        <w:t>市行业发展规划</w:t>
      </w:r>
    </w:p>
    <w:p w14:paraId="73F7BB34">
      <w:pPr>
        <w:pStyle w:val="2"/>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en-US" w:bidi="ar-SA"/>
        </w:rPr>
        <w:t>《</w:t>
      </w:r>
      <w:r>
        <w:rPr>
          <w:rFonts w:hint="eastAsia" w:ascii="仿宋" w:hAnsi="仿宋" w:eastAsia="仿宋" w:cs="仿宋"/>
          <w:color w:val="auto"/>
          <w:kern w:val="2"/>
          <w:sz w:val="28"/>
          <w:szCs w:val="28"/>
          <w:lang w:val="en-US" w:eastAsia="zh-CN" w:bidi="ar-SA"/>
        </w:rPr>
        <w:t>什邡</w:t>
      </w:r>
      <w:r>
        <w:rPr>
          <w:rFonts w:hint="eastAsia" w:ascii="仿宋" w:hAnsi="仿宋" w:eastAsia="仿宋" w:cs="仿宋"/>
          <w:color w:val="auto"/>
          <w:kern w:val="2"/>
          <w:sz w:val="28"/>
          <w:szCs w:val="28"/>
          <w:lang w:val="en-US" w:eastAsia="en-US" w:bidi="ar-SA"/>
        </w:rPr>
        <w:t>市国民经济和社会发展第十</w:t>
      </w:r>
      <w:r>
        <w:rPr>
          <w:rFonts w:hint="eastAsia" w:ascii="仿宋" w:hAnsi="仿宋" w:eastAsia="仿宋" w:cs="仿宋"/>
          <w:color w:val="auto"/>
          <w:kern w:val="2"/>
          <w:sz w:val="28"/>
          <w:szCs w:val="28"/>
          <w:lang w:val="en-US" w:eastAsia="zh-CN" w:bidi="ar-SA"/>
        </w:rPr>
        <w:t>四</w:t>
      </w:r>
      <w:r>
        <w:rPr>
          <w:rFonts w:hint="eastAsia" w:ascii="仿宋" w:hAnsi="仿宋" w:eastAsia="仿宋" w:cs="仿宋"/>
          <w:color w:val="auto"/>
          <w:kern w:val="2"/>
          <w:sz w:val="28"/>
          <w:szCs w:val="28"/>
          <w:lang w:val="en-US" w:eastAsia="en-US" w:bidi="ar-SA"/>
        </w:rPr>
        <w:t>个五年规划纲要》</w:t>
      </w:r>
      <w:r>
        <w:rPr>
          <w:rFonts w:hint="eastAsia" w:ascii="仿宋" w:hAnsi="仿宋" w:eastAsia="仿宋" w:cs="仿宋"/>
          <w:color w:val="auto"/>
          <w:kern w:val="2"/>
          <w:sz w:val="28"/>
          <w:szCs w:val="28"/>
          <w:lang w:val="en-US" w:eastAsia="zh-CN" w:bidi="ar-SA"/>
        </w:rPr>
        <w:t>提到：优化水资源配置格局，实施什邡市城区生态用水引水工程，重点建设湔江牛栏堰、螺丝堰、老鸦堰、鸭子河乌木凼、青竹堰等拦河堰闸坝工程，加快谋划白虎头水库，协同推进高景关水库等项目建设。</w:t>
      </w:r>
      <w:r>
        <w:rPr>
          <w:rFonts w:hint="eastAsia" w:ascii="仿宋" w:hAnsi="仿宋" w:eastAsia="仿宋" w:cs="仿宋"/>
          <w:b/>
          <w:bCs/>
          <w:color w:val="auto"/>
          <w:kern w:val="2"/>
          <w:sz w:val="28"/>
          <w:szCs w:val="28"/>
          <w:lang w:val="en-US" w:eastAsia="zh-CN" w:bidi="ar-SA"/>
        </w:rPr>
        <w:t>确保城乡用水安全，实施什邡市城乡供水保障项目</w:t>
      </w:r>
      <w:r>
        <w:rPr>
          <w:rFonts w:hint="eastAsia" w:ascii="仿宋" w:hAnsi="仿宋" w:eastAsia="仿宋" w:cs="仿宋"/>
          <w:color w:val="auto"/>
          <w:kern w:val="2"/>
          <w:sz w:val="28"/>
          <w:szCs w:val="28"/>
          <w:lang w:val="en-US" w:eastAsia="zh-CN" w:bidi="ar-SA"/>
        </w:rPr>
        <w:t>，通过工程新建、改造、升级、配套、联网等方式，提高城乡供水安全保障程度和质量。</w:t>
      </w:r>
    </w:p>
    <w:p w14:paraId="7FC8E432">
      <w:pPr>
        <w:keepNext w:val="0"/>
        <w:keepLines w:val="0"/>
        <w:pageBreakBefore w:val="0"/>
        <w:widowControl w:val="0"/>
        <w:kinsoku/>
        <w:wordWrap/>
        <w:overflowPunct/>
        <w:topLinePunct w:val="0"/>
        <w:autoSpaceDE w:val="0"/>
        <w:autoSpaceDN w:val="0"/>
        <w:bidi w:val="0"/>
        <w:adjustRightInd/>
        <w:snapToGrid/>
        <w:spacing w:before="0" w:after="0" w:line="360" w:lineRule="auto"/>
        <w:ind w:left="0" w:leftChars="0" w:right="0" w:rightChars="0" w:firstLine="560" w:firstLineChars="200"/>
        <w:jc w:val="left"/>
        <w:textAlignment w:val="auto"/>
        <w:outlineLvl w:val="9"/>
        <w:rPr>
          <w:rFonts w:hint="eastAsia" w:ascii="仿宋" w:hAnsi="仿宋" w:eastAsia="仿宋" w:cs="仿宋"/>
          <w:sz w:val="28"/>
          <w:szCs w:val="28"/>
          <w:lang w:val="en-US" w:eastAsia="en-US"/>
        </w:rPr>
      </w:pPr>
      <w:r>
        <w:rPr>
          <w:rFonts w:hint="eastAsia" w:ascii="仿宋" w:hAnsi="仿宋" w:eastAsia="仿宋" w:cs="仿宋"/>
          <w:sz w:val="28"/>
          <w:szCs w:val="28"/>
          <w:lang w:val="en-US" w:eastAsia="en-US"/>
        </w:rPr>
        <w:t>综上所述，本项目的建设符合省市县及行业专项规划。</w:t>
      </w:r>
    </w:p>
    <w:p w14:paraId="386A447C">
      <w:pPr>
        <w:ind w:firstLine="643"/>
        <w:outlineLvl w:val="1"/>
        <w:rPr>
          <w:rFonts w:cs="仿宋"/>
          <w:b/>
          <w:sz w:val="28"/>
          <w:szCs w:val="28"/>
        </w:rPr>
      </w:pPr>
      <w:r>
        <w:rPr>
          <w:rFonts w:hint="eastAsia" w:cs="仿宋"/>
          <w:b/>
          <w:sz w:val="28"/>
          <w:szCs w:val="28"/>
        </w:rPr>
        <w:t>（二）项目情况</w:t>
      </w:r>
    </w:p>
    <w:p w14:paraId="333B3E88">
      <w:pPr>
        <w:ind w:firstLine="643"/>
        <w:outlineLvl w:val="2"/>
        <w:rPr>
          <w:rFonts w:cs="仿宋"/>
          <w:b/>
          <w:sz w:val="28"/>
          <w:szCs w:val="28"/>
        </w:rPr>
      </w:pPr>
      <w:r>
        <w:rPr>
          <w:rFonts w:hint="eastAsia" w:cs="仿宋"/>
          <w:b/>
          <w:sz w:val="28"/>
          <w:szCs w:val="28"/>
        </w:rPr>
        <w:t>1．参与主体</w:t>
      </w:r>
    </w:p>
    <w:p w14:paraId="5137AE68">
      <w:pPr>
        <w:pStyle w:val="2"/>
        <w:keepNext w:val="0"/>
        <w:keepLines w:val="0"/>
        <w:pageBreakBefore w:val="0"/>
        <w:widowControl w:val="0"/>
        <w:kinsoku/>
        <w:wordWrap/>
        <w:overflowPunct/>
        <w:topLinePunct w:val="0"/>
        <w:autoSpaceDE/>
        <w:autoSpaceDN/>
        <w:bidi w:val="0"/>
        <w:adjustRightInd w:val="0"/>
        <w:snapToGrid w:val="0"/>
        <w:spacing w:after="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实施机构：</w:t>
      </w:r>
      <w:r>
        <w:rPr>
          <w:rFonts w:hint="eastAsia" w:ascii="仿宋" w:hAnsi="仿宋" w:eastAsia="仿宋" w:cs="仿宋"/>
          <w:color w:val="auto"/>
          <w:kern w:val="2"/>
          <w:sz w:val="28"/>
          <w:szCs w:val="28"/>
          <w:lang w:val="en-US" w:eastAsia="zh-CN" w:bidi="ar-SA"/>
        </w:rPr>
        <w:t>什邡市水利局</w:t>
      </w:r>
    </w:p>
    <w:p w14:paraId="72B900FF">
      <w:pPr>
        <w:keepNext w:val="0"/>
        <w:keepLines w:val="0"/>
        <w:pageBreakBefore w:val="0"/>
        <w:widowControl w:val="0"/>
        <w:kinsoku/>
        <w:wordWrap/>
        <w:overflowPunct/>
        <w:topLinePunct w:val="0"/>
        <w:autoSpaceDE/>
        <w:autoSpaceDN/>
        <w:bidi w:val="0"/>
        <w:adjustRightInd w:val="0"/>
        <w:snapToGrid w:val="0"/>
        <w:ind w:firstLine="560"/>
        <w:textAlignment w:val="auto"/>
        <w:rPr>
          <w:rFonts w:hint="eastAsia" w:ascii="仿宋" w:hAnsi="仿宋" w:eastAsia="仿宋" w:cs="仿宋"/>
          <w:sz w:val="28"/>
          <w:szCs w:val="28"/>
          <w:lang w:eastAsia="zh-CN"/>
        </w:rPr>
      </w:pPr>
      <w:r>
        <w:rPr>
          <w:rFonts w:hint="eastAsia" w:ascii="仿宋" w:hAnsi="仿宋" w:cs="仿宋"/>
          <w:b/>
          <w:bCs/>
          <w:sz w:val="28"/>
          <w:szCs w:val="28"/>
        </w:rPr>
        <w:t>项目业主</w:t>
      </w:r>
      <w:r>
        <w:rPr>
          <w:rFonts w:hint="eastAsia" w:ascii="仿宋" w:hAnsi="仿宋" w:cs="仿宋"/>
          <w:sz w:val="28"/>
          <w:szCs w:val="28"/>
        </w:rPr>
        <w:t>：</w:t>
      </w:r>
      <w:r>
        <w:rPr>
          <w:rFonts w:hint="eastAsia" w:cs="仿宋"/>
          <w:sz w:val="28"/>
          <w:szCs w:val="28"/>
          <w:lang w:eastAsia="zh-CN"/>
        </w:rPr>
        <w:t>什邡恒基置业有限公司</w:t>
      </w:r>
    </w:p>
    <w:p w14:paraId="491BC012">
      <w:pPr>
        <w:ind w:firstLine="643"/>
        <w:outlineLvl w:val="2"/>
        <w:rPr>
          <w:rFonts w:cs="仿宋"/>
          <w:b/>
          <w:sz w:val="28"/>
          <w:szCs w:val="28"/>
        </w:rPr>
      </w:pPr>
      <w:r>
        <w:rPr>
          <w:rFonts w:hint="eastAsia" w:cs="仿宋"/>
          <w:b/>
          <w:sz w:val="28"/>
          <w:szCs w:val="28"/>
        </w:rPr>
        <w:t>2．项目概况</w:t>
      </w:r>
    </w:p>
    <w:p w14:paraId="1AEC01E2">
      <w:pPr>
        <w:ind w:firstLine="640"/>
        <w:rPr>
          <w:rFonts w:ascii="宋体" w:hAnsi="宋体" w:cs="宋体"/>
          <w:sz w:val="28"/>
          <w:szCs w:val="28"/>
        </w:rPr>
      </w:pPr>
      <w:r>
        <w:rPr>
          <w:rFonts w:hint="eastAsia" w:cs="仿宋"/>
          <w:sz w:val="28"/>
          <w:szCs w:val="28"/>
          <w:lang w:val="zh-CN"/>
        </w:rPr>
        <w:t>（１）项目所属领域：</w:t>
      </w:r>
      <w:r>
        <w:rPr>
          <w:rFonts w:hint="eastAsia"/>
          <w:b w:val="0"/>
          <w:bCs w:val="0"/>
          <w:sz w:val="28"/>
          <w:szCs w:val="28"/>
          <w:highlight w:val="none"/>
          <w:lang w:val="en" w:eastAsia="zh-CN"/>
        </w:rPr>
        <w:t>项目属于</w:t>
      </w:r>
      <w:r>
        <w:rPr>
          <w:rFonts w:hint="eastAsia" w:cs="仿宋"/>
          <w:b/>
          <w:bCs/>
          <w:sz w:val="28"/>
          <w:szCs w:val="28"/>
          <w:lang w:val="en-US" w:eastAsia="zh-CN"/>
        </w:rPr>
        <w:t>农林水利</w:t>
      </w:r>
      <w:r>
        <w:rPr>
          <w:rFonts w:hint="eastAsia"/>
          <w:b w:val="0"/>
          <w:bCs w:val="0"/>
          <w:sz w:val="28"/>
          <w:szCs w:val="28"/>
          <w:highlight w:val="none"/>
          <w:lang w:val="en" w:eastAsia="zh-CN"/>
        </w:rPr>
        <w:t>建设项目</w:t>
      </w:r>
      <w:r>
        <w:rPr>
          <w:rFonts w:hint="default" w:ascii="Times New Roman" w:hAnsi="Times New Roman" w:cs="Times New Roman"/>
          <w:b w:val="0"/>
          <w:bCs w:val="0"/>
          <w:color w:val="auto"/>
          <w:sz w:val="28"/>
          <w:szCs w:val="28"/>
          <w:lang w:val="en" w:eastAsia="zh-CN"/>
        </w:rPr>
        <w:t>，属于有一定收益的公益性项目</w:t>
      </w:r>
      <w:r>
        <w:rPr>
          <w:rFonts w:hint="eastAsia" w:ascii="宋体" w:hAnsi="宋体" w:cs="宋体"/>
          <w:sz w:val="28"/>
          <w:szCs w:val="28"/>
          <w:lang w:eastAsia="zh-CN"/>
        </w:rPr>
        <w:t>。</w:t>
      </w:r>
    </w:p>
    <w:p w14:paraId="35CDBD0C">
      <w:pPr>
        <w:jc w:val="both"/>
        <w:rPr>
          <w:rFonts w:hint="eastAsia" w:ascii="宋体" w:hAnsi="宋体" w:eastAsia="宋体" w:cs="宋体"/>
          <w:sz w:val="28"/>
          <w:szCs w:val="28"/>
          <w:lang w:eastAsia="zh-CN"/>
        </w:rPr>
      </w:pPr>
      <w:r>
        <w:rPr>
          <w:rFonts w:hint="eastAsia" w:cs="仿宋"/>
          <w:sz w:val="28"/>
          <w:szCs w:val="28"/>
          <w:lang w:val="zh-CN"/>
        </w:rPr>
        <w:t>（２）建设地点：</w:t>
      </w:r>
      <w:r>
        <w:rPr>
          <w:rFonts w:hint="eastAsia" w:ascii="仿宋" w:hAnsi="仿宋" w:eastAsia="仿宋" w:cs="仿宋"/>
          <w:sz w:val="28"/>
          <w:szCs w:val="28"/>
          <w:lang w:val="en-US" w:eastAsia="en-US"/>
        </w:rPr>
        <w:t>什邡市全市各镇等</w:t>
      </w:r>
      <w:r>
        <w:rPr>
          <w:rFonts w:hint="eastAsia" w:cs="仿宋"/>
          <w:spacing w:val="-5"/>
          <w:sz w:val="28"/>
          <w:szCs w:val="28"/>
          <w:lang w:val="en-US" w:eastAsia="zh-CN"/>
        </w:rPr>
        <w:t>。</w:t>
      </w:r>
    </w:p>
    <w:p w14:paraId="7435F2EA">
      <w:pPr>
        <w:ind w:firstLine="640"/>
        <w:rPr>
          <w:rFonts w:hint="eastAsia" w:cs="仿宋"/>
          <w:sz w:val="28"/>
          <w:szCs w:val="28"/>
          <w:lang w:val="zh-CN"/>
        </w:rPr>
      </w:pPr>
      <w:r>
        <w:rPr>
          <w:rFonts w:hint="eastAsia" w:cs="仿宋"/>
          <w:sz w:val="28"/>
          <w:szCs w:val="28"/>
          <w:lang w:val="zh-CN"/>
        </w:rPr>
        <w:t>（３）建设内容和规模：</w:t>
      </w:r>
    </w:p>
    <w:p w14:paraId="43BDCAAC">
      <w:pPr>
        <w:ind w:firstLine="640"/>
        <w:rPr>
          <w:rFonts w:hint="eastAsia" w:ascii="仿宋" w:hAnsi="仿宋" w:eastAsia="仿宋" w:cstheme="minorBidi"/>
          <w:color w:val="auto"/>
          <w:kern w:val="2"/>
          <w:sz w:val="28"/>
          <w:szCs w:val="28"/>
          <w:lang w:val="en-US" w:eastAsia="zh-CN" w:bidi="ar-SA"/>
        </w:rPr>
      </w:pPr>
      <w:r>
        <w:rPr>
          <w:rFonts w:hint="eastAsia" w:ascii="仿宋" w:hAnsi="仿宋" w:eastAsia="仿宋" w:cstheme="minorBidi"/>
          <w:color w:val="auto"/>
          <w:kern w:val="2"/>
          <w:sz w:val="28"/>
          <w:szCs w:val="28"/>
          <w:lang w:val="en-US" w:eastAsia="zh-CN" w:bidi="ar-SA"/>
        </w:rPr>
        <w:t>扩容日供水量6万立方米水厂一座，建设引水管道约10公里，到各镇供水管道80公里，改建输水渠道35公里。供水水厂占地面积62.66亩，期内布设管理房（面积约820平方米）、加药房（面积约428平方米）、制水车间（面积约2520平方米）、清水池（面积约5820.8平方米）、排泥池等。</w:t>
      </w:r>
    </w:p>
    <w:p w14:paraId="52FA2330">
      <w:pPr>
        <w:ind w:firstLine="640"/>
        <w:rPr>
          <w:rFonts w:cs="仿宋"/>
          <w:b/>
          <w:bCs/>
          <w:sz w:val="28"/>
          <w:szCs w:val="28"/>
        </w:rPr>
      </w:pPr>
      <w:r>
        <w:rPr>
          <w:rFonts w:hint="eastAsia" w:cs="仿宋"/>
          <w:b/>
          <w:bCs/>
          <w:sz w:val="28"/>
          <w:szCs w:val="28"/>
        </w:rPr>
        <w:t>二、经济社会效益分析</w:t>
      </w:r>
    </w:p>
    <w:p w14:paraId="1324FB7C">
      <w:pPr>
        <w:ind w:firstLine="643"/>
        <w:outlineLvl w:val="1"/>
        <w:rPr>
          <w:rFonts w:hint="eastAsia" w:cs="仿宋"/>
          <w:b/>
          <w:bCs/>
          <w:sz w:val="28"/>
          <w:szCs w:val="28"/>
        </w:rPr>
      </w:pPr>
      <w:bookmarkStart w:id="11" w:name="_Toc23695"/>
      <w:bookmarkStart w:id="12" w:name="_Toc7158"/>
      <w:r>
        <w:rPr>
          <w:rFonts w:hint="eastAsia" w:cs="仿宋"/>
          <w:b/>
          <w:bCs/>
          <w:sz w:val="28"/>
          <w:szCs w:val="28"/>
        </w:rPr>
        <w:t>（一）经济效益分析</w:t>
      </w:r>
      <w:bookmarkEnd w:id="11"/>
      <w:bookmarkEnd w:id="12"/>
    </w:p>
    <w:p w14:paraId="02F8FA82">
      <w:pPr>
        <w:pStyle w:val="2"/>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1．本项目经济效益良好</w:t>
      </w:r>
    </w:p>
    <w:p w14:paraId="2CF9D76A">
      <w:pPr>
        <w:pStyle w:val="2"/>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通过项目财务分析计算，项目的各项财务经济指标均达到或好于行业的基准指标。项目能实现融资自求平衡，项目收益较好。</w:t>
      </w:r>
    </w:p>
    <w:p w14:paraId="3A8DEE81">
      <w:pPr>
        <w:pStyle w:val="2"/>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2．项目建设可缓解就业压力</w:t>
      </w:r>
    </w:p>
    <w:p w14:paraId="0743A4A3">
      <w:pPr>
        <w:pStyle w:val="2"/>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项目建成后将创造如下就业机会：一是，项目平时的运营管理、维修等需要一定工作人员，直接提供就业机会；二是，工程建设将会加速当地经济的发展，由此带来相关产业的繁荣，将间接带来大量的就业机会；三是，项目建成后，将间接带动周边服务业的发展，提供大量第三产业就业机会。总的来说，工程的建设将直接或间接带来大量就业机会，从而改变原有的劳动力结构，将增加从业人员收入水平。</w:t>
      </w:r>
    </w:p>
    <w:p w14:paraId="001CF9DC">
      <w:pPr>
        <w:ind w:firstLine="643"/>
        <w:outlineLvl w:val="1"/>
        <w:rPr>
          <w:rFonts w:cs="仿宋"/>
          <w:b/>
          <w:bCs/>
          <w:sz w:val="28"/>
          <w:szCs w:val="28"/>
        </w:rPr>
      </w:pPr>
      <w:bookmarkStart w:id="13" w:name="_Toc32508"/>
      <w:bookmarkStart w:id="14" w:name="_Toc25460"/>
      <w:r>
        <w:rPr>
          <w:rFonts w:hint="eastAsia" w:cs="仿宋"/>
          <w:b/>
          <w:bCs/>
          <w:sz w:val="28"/>
          <w:szCs w:val="28"/>
        </w:rPr>
        <w:t>（二）社会效益分析</w:t>
      </w:r>
      <w:bookmarkEnd w:id="13"/>
      <w:bookmarkEnd w:id="14"/>
    </w:p>
    <w:p w14:paraId="53F11850">
      <w:pPr>
        <w:bidi w:val="0"/>
        <w:rPr>
          <w:rFonts w:hint="eastAsia" w:eastAsia="仿宋"/>
          <w:sz w:val="28"/>
          <w:szCs w:val="28"/>
          <w:lang w:eastAsia="zh-CN"/>
        </w:rPr>
      </w:pPr>
      <w:r>
        <w:rPr>
          <w:rFonts w:hint="eastAsia"/>
          <w:sz w:val="28"/>
          <w:szCs w:val="28"/>
          <w:lang w:eastAsia="zh-CN"/>
        </w:rPr>
        <w:t>项目的实施有助于构建和谐社会，改善民生。工程的实施不仅使受益群众的饮水安全得到保障，还使群众告别了祖祖辈辈饮用不安全水的历史，喝上了符合国家饮用水标准的安全水和放心水，减少了水介传染病的发病率，消除了因水质差带给人们的各种疾病，提高了广大农民的健康水平，减少疾病，增进健康。工程的实施将减少细菌的滋生，减少疾病，减少水污染导致对农村身体健康的严重损害，从而降低医药费开支，提高卫生水平及人民健康水平。</w:t>
      </w:r>
    </w:p>
    <w:p w14:paraId="26FB442E">
      <w:pPr>
        <w:ind w:firstLine="643"/>
        <w:outlineLvl w:val="0"/>
        <w:rPr>
          <w:rFonts w:cs="仿宋"/>
          <w:b/>
          <w:bCs/>
          <w:sz w:val="28"/>
          <w:szCs w:val="28"/>
        </w:rPr>
      </w:pPr>
      <w:r>
        <w:rPr>
          <w:rFonts w:hint="eastAsia" w:cs="仿宋"/>
          <w:b/>
          <w:bCs/>
          <w:sz w:val="28"/>
          <w:szCs w:val="28"/>
        </w:rPr>
        <w:t>三、项目投资估算及资金筹措方案</w:t>
      </w:r>
    </w:p>
    <w:p w14:paraId="55423B5E">
      <w:pPr>
        <w:ind w:firstLine="643"/>
        <w:outlineLvl w:val="1"/>
        <w:rPr>
          <w:rFonts w:cs="仿宋"/>
          <w:b/>
          <w:sz w:val="28"/>
          <w:szCs w:val="28"/>
        </w:rPr>
      </w:pPr>
      <w:r>
        <w:rPr>
          <w:rFonts w:hint="eastAsia" w:cs="仿宋"/>
          <w:b/>
          <w:sz w:val="28"/>
          <w:szCs w:val="28"/>
        </w:rPr>
        <w:t>（一）投资估算</w:t>
      </w:r>
    </w:p>
    <w:p w14:paraId="0AA0D170">
      <w:pPr>
        <w:bidi w:val="0"/>
        <w:rPr>
          <w:rFonts w:hint="eastAsia" w:ascii="Times New Roman" w:hAnsi="Times New Roman" w:eastAsia="仿宋" w:cs="Times New Roman"/>
          <w:b w:val="0"/>
          <w:bCs w:val="0"/>
          <w:caps/>
          <w:color w:val="000000"/>
          <w:kern w:val="2"/>
          <w:sz w:val="28"/>
          <w:szCs w:val="28"/>
          <w:highlight w:val="none"/>
          <w:u w:color="000000"/>
          <w:lang w:val="en-US" w:eastAsia="zh-CN" w:bidi="ar-SA"/>
        </w:rPr>
      </w:pPr>
      <w:r>
        <w:rPr>
          <w:rFonts w:hint="default" w:ascii="Times New Roman" w:hAnsi="Times New Roman" w:eastAsia="仿宋" w:cs="Times New Roman"/>
          <w:b w:val="0"/>
          <w:bCs w:val="0"/>
          <w:caps/>
          <w:color w:val="000000"/>
          <w:kern w:val="2"/>
          <w:sz w:val="28"/>
          <w:szCs w:val="28"/>
          <w:highlight w:val="none"/>
          <w:u w:color="000000"/>
          <w:lang w:val="en" w:eastAsia="zh-CN" w:bidi="ar-SA"/>
        </w:rPr>
        <w:t>（1）</w:t>
      </w:r>
      <w:r>
        <w:rPr>
          <w:rFonts w:hint="eastAsia" w:ascii="Times New Roman" w:hAnsi="Times New Roman" w:eastAsia="仿宋" w:cs="Times New Roman"/>
          <w:b w:val="0"/>
          <w:bCs w:val="0"/>
          <w:caps/>
          <w:color w:val="000000"/>
          <w:kern w:val="2"/>
          <w:sz w:val="28"/>
          <w:szCs w:val="28"/>
          <w:highlight w:val="none"/>
          <w:u w:color="000000"/>
          <w:lang w:val="en-US" w:eastAsia="zh-CN" w:bidi="ar-SA"/>
        </w:rPr>
        <w:t>项目投资</w:t>
      </w:r>
      <w:r>
        <w:rPr>
          <w:rFonts w:hint="default" w:ascii="Times New Roman" w:hAnsi="Times New Roman" w:eastAsia="仿宋" w:cs="Times New Roman"/>
          <w:b w:val="0"/>
          <w:bCs w:val="0"/>
          <w:caps/>
          <w:color w:val="000000"/>
          <w:kern w:val="2"/>
          <w:sz w:val="28"/>
          <w:szCs w:val="28"/>
          <w:highlight w:val="none"/>
          <w:u w:color="000000"/>
          <w:lang w:val="en" w:eastAsia="zh-CN" w:bidi="ar-SA"/>
        </w:rPr>
        <w:t>经估算，项目总投资</w:t>
      </w:r>
      <w:r>
        <w:rPr>
          <w:rFonts w:hint="eastAsia" w:ascii="Times New Roman" w:hAnsi="Times New Roman" w:eastAsia="仿宋" w:cs="Times New Roman"/>
          <w:b w:val="0"/>
          <w:bCs w:val="0"/>
          <w:caps/>
          <w:color w:val="000000"/>
          <w:kern w:val="2"/>
          <w:sz w:val="28"/>
          <w:szCs w:val="28"/>
          <w:highlight w:val="none"/>
          <w:u w:color="000000"/>
          <w:lang w:val="en-US" w:eastAsia="zh-CN" w:bidi="ar-SA"/>
        </w:rPr>
        <w:t>68,200.00万元，其中：</w:t>
      </w:r>
    </w:p>
    <w:p w14:paraId="43DD5322">
      <w:pPr>
        <w:bidi w:val="0"/>
        <w:rPr>
          <w:rFonts w:hint="eastAsia" w:ascii="Times New Roman" w:hAnsi="Times New Roman" w:eastAsia="仿宋" w:cs="Times New Roman"/>
          <w:b w:val="0"/>
          <w:bCs w:val="0"/>
          <w:caps/>
          <w:color w:val="000000"/>
          <w:kern w:val="2"/>
          <w:sz w:val="28"/>
          <w:szCs w:val="28"/>
          <w:highlight w:val="none"/>
          <w:u w:color="000000"/>
          <w:lang w:val="en-US" w:eastAsia="zh-CN" w:bidi="ar-SA"/>
        </w:rPr>
      </w:pPr>
      <w:r>
        <w:rPr>
          <w:rFonts w:hint="eastAsia" w:ascii="Times New Roman" w:hAnsi="Times New Roman" w:eastAsia="仿宋" w:cs="Times New Roman"/>
          <w:b w:val="0"/>
          <w:bCs w:val="0"/>
          <w:caps/>
          <w:color w:val="000000"/>
          <w:kern w:val="2"/>
          <w:sz w:val="28"/>
          <w:szCs w:val="28"/>
          <w:highlight w:val="none"/>
          <w:u w:color="000000"/>
          <w:lang w:val="en-US" w:eastAsia="zh-CN" w:bidi="ar-SA"/>
        </w:rPr>
        <w:t>第一部分工程费用55,852.35 万元，占项目总投资的81.89%；</w:t>
      </w:r>
    </w:p>
    <w:p w14:paraId="3E6D8943">
      <w:pPr>
        <w:bidi w:val="0"/>
        <w:rPr>
          <w:rFonts w:hint="eastAsia" w:ascii="Times New Roman" w:hAnsi="Times New Roman" w:eastAsia="仿宋" w:cs="Times New Roman"/>
          <w:b w:val="0"/>
          <w:bCs w:val="0"/>
          <w:caps/>
          <w:color w:val="000000"/>
          <w:kern w:val="2"/>
          <w:sz w:val="28"/>
          <w:szCs w:val="28"/>
          <w:highlight w:val="none"/>
          <w:u w:color="000000"/>
          <w:lang w:val="en-US" w:eastAsia="zh-CN" w:bidi="ar-SA"/>
        </w:rPr>
      </w:pPr>
      <w:r>
        <w:rPr>
          <w:rFonts w:hint="eastAsia" w:ascii="Times New Roman" w:hAnsi="Times New Roman" w:eastAsia="仿宋" w:cs="Times New Roman"/>
          <w:b w:val="0"/>
          <w:bCs w:val="0"/>
          <w:caps/>
          <w:color w:val="000000"/>
          <w:kern w:val="2"/>
          <w:sz w:val="28"/>
          <w:szCs w:val="28"/>
          <w:highlight w:val="none"/>
          <w:u w:color="000000"/>
          <w:lang w:val="en-US" w:eastAsia="zh-CN" w:bidi="ar-SA"/>
        </w:rPr>
        <w:t>第二部分工程建设其他费用 6,016.38 万元，占项目总投资的8.82%；</w:t>
      </w:r>
    </w:p>
    <w:p w14:paraId="46AFEB00">
      <w:pPr>
        <w:bidi w:val="0"/>
        <w:rPr>
          <w:rFonts w:hint="eastAsia" w:ascii="Times New Roman" w:hAnsi="Times New Roman" w:eastAsia="仿宋" w:cs="Times New Roman"/>
          <w:b w:val="0"/>
          <w:bCs w:val="0"/>
          <w:caps/>
          <w:color w:val="000000"/>
          <w:kern w:val="2"/>
          <w:sz w:val="28"/>
          <w:szCs w:val="28"/>
          <w:highlight w:val="none"/>
          <w:u w:color="000000"/>
          <w:lang w:val="en-US" w:eastAsia="zh-CN" w:bidi="ar-SA"/>
        </w:rPr>
      </w:pPr>
      <w:r>
        <w:rPr>
          <w:rFonts w:hint="eastAsia" w:ascii="Times New Roman" w:hAnsi="Times New Roman" w:eastAsia="仿宋" w:cs="Times New Roman"/>
          <w:b w:val="0"/>
          <w:bCs w:val="0"/>
          <w:caps/>
          <w:color w:val="000000"/>
          <w:kern w:val="2"/>
          <w:sz w:val="28"/>
          <w:szCs w:val="28"/>
          <w:highlight w:val="none"/>
          <w:u w:color="000000"/>
          <w:lang w:val="en-US" w:eastAsia="zh-CN" w:bidi="ar-SA"/>
        </w:rPr>
        <w:t>预备费用3,018.44 万元，占项目总投资的4.43%；</w:t>
      </w:r>
    </w:p>
    <w:p w14:paraId="3FD8F3AC">
      <w:pPr>
        <w:bidi w:val="0"/>
        <w:rPr>
          <w:rFonts w:hint="eastAsia" w:ascii="Times New Roman" w:hAnsi="Times New Roman" w:eastAsia="仿宋" w:cs="Times New Roman"/>
          <w:b w:val="0"/>
          <w:bCs w:val="0"/>
          <w:caps/>
          <w:color w:val="000000"/>
          <w:kern w:val="2"/>
          <w:sz w:val="28"/>
          <w:szCs w:val="28"/>
          <w:highlight w:val="none"/>
          <w:u w:color="000000"/>
          <w:lang w:val="en-US" w:eastAsia="zh-CN" w:bidi="ar-SA"/>
        </w:rPr>
      </w:pPr>
      <w:r>
        <w:rPr>
          <w:rFonts w:hint="eastAsia" w:ascii="Times New Roman" w:hAnsi="Times New Roman" w:eastAsia="仿宋" w:cs="Times New Roman"/>
          <w:b w:val="0"/>
          <w:bCs w:val="0"/>
          <w:caps/>
          <w:color w:val="000000"/>
          <w:kern w:val="2"/>
          <w:sz w:val="28"/>
          <w:szCs w:val="28"/>
          <w:highlight w:val="none"/>
          <w:u w:color="000000"/>
          <w:lang w:val="en-US" w:eastAsia="zh-CN" w:bidi="ar-SA"/>
        </w:rPr>
        <w:t>建设期利息及发行费用 3,312.83 万元，占总投资的3.98%；</w:t>
      </w:r>
    </w:p>
    <w:p w14:paraId="5ADE9865">
      <w:pPr>
        <w:ind w:firstLine="643"/>
        <w:outlineLvl w:val="1"/>
        <w:rPr>
          <w:rFonts w:cs="仿宋"/>
          <w:b/>
          <w:sz w:val="28"/>
          <w:szCs w:val="28"/>
        </w:rPr>
      </w:pPr>
      <w:r>
        <w:rPr>
          <w:rFonts w:hint="eastAsia" w:cs="仿宋"/>
          <w:b/>
          <w:sz w:val="28"/>
          <w:szCs w:val="28"/>
        </w:rPr>
        <w:t>（二）资金筹措方案</w:t>
      </w:r>
    </w:p>
    <w:p w14:paraId="3A4FE963">
      <w:pPr>
        <w:keepNext w:val="0"/>
        <w:keepLines w:val="0"/>
        <w:pageBreakBefore w:val="0"/>
        <w:kinsoku/>
        <w:wordWrap/>
        <w:overflowPunct/>
        <w:topLinePunct w:val="0"/>
        <w:bidi w:val="0"/>
        <w:spacing w:line="360" w:lineRule="auto"/>
        <w:ind w:firstLine="643"/>
        <w:outlineLvl w:val="2"/>
        <w:rPr>
          <w:rFonts w:cs="仿宋"/>
          <w:b/>
          <w:sz w:val="28"/>
          <w:szCs w:val="28"/>
        </w:rPr>
      </w:pPr>
      <w:r>
        <w:rPr>
          <w:rFonts w:hint="eastAsia" w:cs="仿宋"/>
          <w:b/>
          <w:sz w:val="28"/>
          <w:szCs w:val="28"/>
        </w:rPr>
        <w:t>1.资金筹集情况</w:t>
      </w:r>
    </w:p>
    <w:p w14:paraId="186049C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default" w:ascii="Times New Roman" w:hAnsi="Times New Roman" w:eastAsia="仿宋" w:cs="Times New Roman"/>
          <w:b w:val="0"/>
          <w:bCs w:val="0"/>
          <w:caps/>
          <w:kern w:val="2"/>
          <w:sz w:val="28"/>
          <w:szCs w:val="28"/>
          <w:highlight w:val="none"/>
          <w:lang w:val="en" w:eastAsia="zh-CN" w:bidi="ar-SA"/>
        </w:rPr>
      </w:pPr>
      <w:r>
        <w:rPr>
          <w:rFonts w:hint="default" w:ascii="Times New Roman" w:hAnsi="Times New Roman" w:eastAsia="仿宋" w:cs="Times New Roman"/>
          <w:b w:val="0"/>
          <w:bCs w:val="0"/>
          <w:caps/>
          <w:kern w:val="2"/>
          <w:sz w:val="28"/>
          <w:szCs w:val="28"/>
          <w:highlight w:val="none"/>
          <w:lang w:val="en" w:eastAsia="zh-CN" w:bidi="ar-SA"/>
        </w:rPr>
        <w:t>本项目总投资68200.00万元，资金来源为地方政府配套资金、银行融资、地方专项债资金。</w:t>
      </w:r>
    </w:p>
    <w:p w14:paraId="7F390F1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default" w:ascii="Times New Roman" w:hAnsi="Times New Roman" w:eastAsia="仿宋" w:cs="Times New Roman"/>
          <w:b w:val="0"/>
          <w:bCs w:val="0"/>
          <w:caps/>
          <w:kern w:val="2"/>
          <w:sz w:val="28"/>
          <w:szCs w:val="28"/>
          <w:highlight w:val="none"/>
          <w:lang w:val="en" w:eastAsia="zh-CN" w:bidi="ar-SA"/>
        </w:rPr>
      </w:pPr>
      <w:r>
        <w:rPr>
          <w:rFonts w:hint="default" w:ascii="Times New Roman" w:hAnsi="Times New Roman" w:eastAsia="仿宋" w:cs="Times New Roman"/>
          <w:b w:val="0"/>
          <w:bCs w:val="0"/>
          <w:caps/>
          <w:kern w:val="2"/>
          <w:sz w:val="28"/>
          <w:szCs w:val="28"/>
          <w:highlight w:val="none"/>
          <w:lang w:val="en" w:eastAsia="zh-CN" w:bidi="ar-SA"/>
        </w:rPr>
        <w:t>地方政府配套资金21200.00万元，占总投资的31.08%，专项债融资35000.00万元，占总投资的51.32%（拟申请的专项债券将用作项目资本金），市场化融资12,000.00万元，占总投资的17.60%。</w:t>
      </w:r>
    </w:p>
    <w:p w14:paraId="0CE6DA1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default" w:ascii="Times New Roman" w:hAnsi="Times New Roman" w:eastAsia="仿宋" w:cs="Times New Roman"/>
          <w:b w:val="0"/>
          <w:bCs w:val="0"/>
          <w:caps/>
          <w:kern w:val="2"/>
          <w:sz w:val="28"/>
          <w:szCs w:val="28"/>
          <w:highlight w:val="none"/>
          <w:lang w:val="en" w:eastAsia="zh-CN" w:bidi="ar-SA"/>
        </w:rPr>
      </w:pPr>
      <w:r>
        <w:rPr>
          <w:rFonts w:hint="default" w:ascii="Times New Roman" w:hAnsi="Times New Roman" w:eastAsia="仿宋" w:cs="Times New Roman"/>
          <w:b w:val="0"/>
          <w:bCs w:val="0"/>
          <w:caps/>
          <w:kern w:val="2"/>
          <w:sz w:val="28"/>
          <w:szCs w:val="28"/>
          <w:highlight w:val="none"/>
          <w:lang w:val="en" w:eastAsia="zh-CN" w:bidi="ar-SA"/>
        </w:rPr>
        <w:t>项目融资35000.00万元通过发行地方政府专项债券筹集，其中2022年拟发行10,000.00万元，2023年拟发行10,000.00万元，2024年拟发行10,000.00万元，2025年拟发行5,000.00万元。</w:t>
      </w:r>
    </w:p>
    <w:p w14:paraId="488F01B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0" w:firstLineChars="200"/>
        <w:textAlignment w:val="baseline"/>
        <w:rPr>
          <w:rFonts w:hint="eastAsia" w:ascii="仿宋" w:hAnsi="仿宋" w:eastAsia="仿宋" w:cs="仿宋"/>
          <w:spacing w:val="-4"/>
          <w:sz w:val="28"/>
          <w:szCs w:val="28"/>
        </w:rPr>
      </w:pPr>
      <w:r>
        <w:rPr>
          <w:rFonts w:hint="default" w:ascii="Times New Roman" w:hAnsi="Times New Roman" w:eastAsia="仿宋" w:cs="Times New Roman"/>
          <w:b w:val="0"/>
          <w:bCs w:val="0"/>
          <w:caps/>
          <w:kern w:val="2"/>
          <w:sz w:val="28"/>
          <w:szCs w:val="28"/>
          <w:highlight w:val="none"/>
          <w:lang w:val="en" w:eastAsia="zh-CN" w:bidi="ar-SA"/>
        </w:rPr>
        <w:t>项目市场化融资12,000.00万元通过银行贷款，其中2022年拟融资3,000.00万元，2023年拟融资4,000.00万元，2024年拟融资3,000.00万元，2025年拟发行2,000.00万元。</w:t>
      </w:r>
    </w:p>
    <w:p w14:paraId="1F38CF95">
      <w:pPr>
        <w:numPr>
          <w:ilvl w:val="0"/>
          <w:numId w:val="2"/>
        </w:numPr>
        <w:ind w:firstLine="643"/>
        <w:outlineLvl w:val="2"/>
        <w:rPr>
          <w:rFonts w:hint="eastAsia" w:cs="仿宋"/>
          <w:b/>
          <w:sz w:val="28"/>
          <w:szCs w:val="28"/>
        </w:rPr>
      </w:pPr>
      <w:r>
        <w:rPr>
          <w:rFonts w:hint="eastAsia" w:cs="仿宋"/>
          <w:b/>
          <w:sz w:val="28"/>
          <w:szCs w:val="28"/>
        </w:rPr>
        <w:t>资金使用计划</w:t>
      </w:r>
    </w:p>
    <w:p w14:paraId="0927508C">
      <w:pPr>
        <w:keepNext w:val="0"/>
        <w:keepLines w:val="0"/>
        <w:widowControl/>
        <w:suppressLineNumbers w:val="0"/>
        <w:jc w:val="left"/>
        <w:rPr>
          <w:sz w:val="28"/>
          <w:szCs w:val="28"/>
        </w:rPr>
      </w:pPr>
      <w:r>
        <w:rPr>
          <w:rFonts w:hint="default" w:ascii="Times New Roman" w:hAnsi="Times New Roman" w:eastAsia="仿宋_GB2312" w:cs="Times New Roman"/>
          <w:color w:val="000000"/>
          <w:kern w:val="0"/>
          <w:sz w:val="28"/>
          <w:szCs w:val="28"/>
          <w:lang w:val="en-US" w:eastAsia="zh-CN" w:bidi="ar"/>
        </w:rPr>
        <w:t>项目总投资</w:t>
      </w:r>
      <w:r>
        <w:rPr>
          <w:rFonts w:hint="default" w:ascii="Times New Roman" w:hAnsi="Times New Roman" w:eastAsia="仿宋" w:cs="Times New Roman"/>
          <w:b w:val="0"/>
          <w:bCs w:val="0"/>
          <w:caps/>
          <w:kern w:val="2"/>
          <w:sz w:val="28"/>
          <w:szCs w:val="28"/>
          <w:highlight w:val="none"/>
          <w:lang w:val="en" w:eastAsia="zh-CN" w:bidi="ar-SA"/>
        </w:rPr>
        <w:t>68200.00</w:t>
      </w:r>
      <w:r>
        <w:rPr>
          <w:rFonts w:hint="default" w:ascii="Times New Roman" w:hAnsi="Times New Roman" w:eastAsia="仿宋_GB2312" w:cs="Times New Roman"/>
          <w:color w:val="000000"/>
          <w:kern w:val="0"/>
          <w:sz w:val="28"/>
          <w:szCs w:val="28"/>
          <w:lang w:val="en-US" w:eastAsia="zh-CN" w:bidi="ar"/>
        </w:rPr>
        <w:t>万元，分年投资计划如下，若提前或推后发行债券，则投资计划相应进行调整</w:t>
      </w:r>
      <w:r>
        <w:rPr>
          <w:rFonts w:ascii="仿宋_GB2312" w:hAnsi="仿宋_GB2312" w:eastAsia="仿宋_GB2312" w:cs="仿宋_GB2312"/>
          <w:color w:val="000000"/>
          <w:kern w:val="0"/>
          <w:sz w:val="28"/>
          <w:szCs w:val="28"/>
          <w:lang w:val="en-US" w:eastAsia="zh-CN" w:bidi="ar"/>
        </w:rPr>
        <w:t>：</w:t>
      </w:r>
    </w:p>
    <w:p w14:paraId="311200C5">
      <w:pPr>
        <w:keepNext w:val="0"/>
        <w:keepLines w:val="0"/>
        <w:widowControl/>
        <w:suppressLineNumbers w:val="0"/>
        <w:jc w:val="center"/>
        <w:rPr>
          <w:rFonts w:hint="eastAsia" w:ascii="仿宋_GB2312" w:hAnsi="仿宋_GB2312" w:eastAsia="仿宋_GB2312" w:cs="仿宋_GB2312"/>
          <w:color w:val="auto"/>
          <w:kern w:val="0"/>
          <w:sz w:val="28"/>
          <w:szCs w:val="28"/>
          <w:lang w:val="en-US" w:eastAsia="zh-CN" w:bidi="ar"/>
        </w:rPr>
      </w:pPr>
      <w:r>
        <w:rPr>
          <w:rFonts w:ascii="仿宋_GB2312" w:hAnsi="仿宋_GB2312" w:eastAsia="仿宋_GB2312" w:cs="仿宋_GB2312"/>
          <w:color w:val="auto"/>
          <w:kern w:val="0"/>
          <w:sz w:val="28"/>
          <w:szCs w:val="28"/>
          <w:lang w:val="en-US" w:eastAsia="zh-CN" w:bidi="ar"/>
        </w:rPr>
        <w:t>资金分年度使用计</w:t>
      </w:r>
      <w:r>
        <w:rPr>
          <w:rFonts w:hint="eastAsia" w:ascii="仿宋_GB2312" w:hAnsi="仿宋_GB2312" w:eastAsia="仿宋_GB2312" w:cs="仿宋_GB2312"/>
          <w:color w:val="auto"/>
          <w:kern w:val="0"/>
          <w:sz w:val="28"/>
          <w:szCs w:val="28"/>
          <w:lang w:val="en-US" w:eastAsia="zh-CN" w:bidi="ar"/>
        </w:rPr>
        <w:t>划</w:t>
      </w:r>
    </w:p>
    <w:tbl>
      <w:tblPr>
        <w:tblStyle w:val="1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7"/>
        <w:gridCol w:w="1801"/>
        <w:gridCol w:w="1051"/>
        <w:gridCol w:w="2173"/>
        <w:gridCol w:w="1158"/>
        <w:gridCol w:w="1158"/>
        <w:gridCol w:w="1172"/>
      </w:tblGrid>
      <w:tr w14:paraId="335D9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000" w:type="pct"/>
            <w:gridSpan w:val="7"/>
            <w:tcBorders>
              <w:top w:val="single" w:color="4F81BD" w:sz="8" w:space="0"/>
              <w:left w:val="single" w:color="4F81BD" w:sz="8" w:space="0"/>
              <w:bottom w:val="single" w:color="4F81BD" w:sz="8" w:space="0"/>
              <w:right w:val="dotted" w:color="auto" w:sz="0" w:space="0"/>
            </w:tcBorders>
            <w:shd w:val="clear" w:color="auto" w:fill="4F81BD"/>
            <w:noWrap/>
            <w:vAlign w:val="center"/>
          </w:tcPr>
          <w:p w14:paraId="6D840E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Arial Narrow" w:hAnsi="Arial Narrow" w:eastAsia="Arial Narrow" w:cs="Arial Narrow"/>
                <w:b/>
                <w:bCs/>
                <w:i w:val="0"/>
                <w:iCs w:val="0"/>
                <w:color w:val="FFFFFF"/>
                <w:sz w:val="20"/>
                <w:szCs w:val="20"/>
                <w:u w:val="none"/>
              </w:rPr>
            </w:pPr>
            <w:r>
              <w:rPr>
                <w:rFonts w:ascii="华文仿宋" w:hAnsi="华文仿宋" w:eastAsia="华文仿宋" w:cs="华文仿宋"/>
                <w:b/>
                <w:bCs/>
                <w:i w:val="0"/>
                <w:iCs w:val="0"/>
                <w:color w:val="FFFFFF"/>
                <w:kern w:val="0"/>
                <w:sz w:val="20"/>
                <w:szCs w:val="20"/>
                <w:u w:val="none"/>
                <w:lang w:val="en-US" w:eastAsia="zh-CN" w:bidi="ar"/>
              </w:rPr>
              <w:t>投资进度表</w:t>
            </w:r>
          </w:p>
        </w:tc>
      </w:tr>
      <w:tr w14:paraId="3C754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0" w:space="0"/>
            </w:tcBorders>
            <w:shd w:val="clear" w:color="auto" w:fill="FFFFFF"/>
            <w:noWrap/>
            <w:vAlign w:val="center"/>
          </w:tcPr>
          <w:p w14:paraId="07069F9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Arial Narrow" w:hAnsi="Arial Narrow" w:eastAsia="Arial Narrow" w:cs="Arial Narrow"/>
                <w:i w:val="0"/>
                <w:iCs w:val="0"/>
                <w:color w:val="000000"/>
                <w:sz w:val="16"/>
                <w:szCs w:val="16"/>
                <w:u w:val="none"/>
              </w:rPr>
            </w:pPr>
          </w:p>
        </w:tc>
        <w:tc>
          <w:tcPr>
            <w:tcW w:w="994" w:type="pct"/>
            <w:tcBorders>
              <w:top w:val="single" w:color="4F81BD" w:sz="8" w:space="0"/>
              <w:left w:val="dotted" w:color="auto" w:sz="0" w:space="0"/>
              <w:bottom w:val="single" w:color="4F81BD" w:sz="8" w:space="0"/>
              <w:right w:val="dotted" w:color="auto" w:sz="0" w:space="0"/>
            </w:tcBorders>
            <w:shd w:val="clear" w:color="auto" w:fill="FFFFFF"/>
            <w:noWrap/>
            <w:vAlign w:val="center"/>
          </w:tcPr>
          <w:p w14:paraId="1DDB2E8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Arial Narrow" w:hAnsi="Arial Narrow" w:eastAsia="Arial Narrow" w:cs="Arial Narrow"/>
                <w:i w:val="0"/>
                <w:iCs w:val="0"/>
                <w:color w:val="000000"/>
                <w:sz w:val="16"/>
                <w:szCs w:val="16"/>
                <w:u w:val="none"/>
              </w:rPr>
            </w:pPr>
          </w:p>
        </w:tc>
        <w:tc>
          <w:tcPr>
            <w:tcW w:w="580" w:type="pct"/>
            <w:tcBorders>
              <w:top w:val="single" w:color="4F81BD" w:sz="8" w:space="0"/>
              <w:left w:val="dotted" w:color="auto" w:sz="0" w:space="0"/>
              <w:bottom w:val="single" w:color="4F81BD" w:sz="8" w:space="0"/>
              <w:right w:val="dotted" w:color="auto" w:sz="0" w:space="0"/>
            </w:tcBorders>
            <w:shd w:val="clear" w:color="auto" w:fill="FFFFFF"/>
            <w:noWrap/>
            <w:vAlign w:val="center"/>
          </w:tcPr>
          <w:p w14:paraId="12FC8B2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Arial Narrow" w:hAnsi="Arial Narrow" w:eastAsia="Arial Narrow" w:cs="Arial Narrow"/>
                <w:i w:val="0"/>
                <w:iCs w:val="0"/>
                <w:color w:val="000000"/>
                <w:sz w:val="16"/>
                <w:szCs w:val="16"/>
                <w:u w:val="none"/>
              </w:rPr>
            </w:pPr>
          </w:p>
        </w:tc>
        <w:tc>
          <w:tcPr>
            <w:tcW w:w="1199" w:type="pct"/>
            <w:tcBorders>
              <w:top w:val="single" w:color="4F81BD" w:sz="8" w:space="0"/>
              <w:left w:val="dotted" w:color="auto" w:sz="0" w:space="0"/>
              <w:bottom w:val="single" w:color="4F81BD" w:sz="8" w:space="0"/>
              <w:right w:val="dotted" w:color="auto" w:sz="0" w:space="0"/>
            </w:tcBorders>
            <w:shd w:val="clear" w:color="auto" w:fill="FFFFFF"/>
            <w:noWrap/>
            <w:vAlign w:val="center"/>
          </w:tcPr>
          <w:p w14:paraId="2DE6E9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金额单位：人民币万元</w:t>
            </w:r>
          </w:p>
        </w:tc>
        <w:tc>
          <w:tcPr>
            <w:tcW w:w="639" w:type="pct"/>
            <w:tcBorders>
              <w:top w:val="single" w:color="4F81BD" w:sz="8" w:space="0"/>
              <w:left w:val="dotted" w:color="auto" w:sz="0" w:space="0"/>
              <w:bottom w:val="single" w:color="4F81BD" w:sz="8" w:space="0"/>
              <w:right w:val="dotted" w:color="auto" w:sz="0" w:space="0"/>
            </w:tcBorders>
            <w:shd w:val="clear" w:color="auto" w:fill="FFFFFF"/>
            <w:noWrap/>
            <w:vAlign w:val="center"/>
          </w:tcPr>
          <w:p w14:paraId="1E968D4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Arial Narrow" w:hAnsi="Arial Narrow" w:eastAsia="Arial Narrow" w:cs="Arial Narrow"/>
                <w:i w:val="0"/>
                <w:iCs w:val="0"/>
                <w:color w:val="000000"/>
                <w:sz w:val="16"/>
                <w:szCs w:val="16"/>
                <w:u w:val="none"/>
              </w:rPr>
            </w:pPr>
          </w:p>
        </w:tc>
        <w:tc>
          <w:tcPr>
            <w:tcW w:w="639" w:type="pct"/>
            <w:tcBorders>
              <w:top w:val="single" w:color="4F81BD" w:sz="8" w:space="0"/>
              <w:left w:val="dotted" w:color="auto" w:sz="0" w:space="0"/>
              <w:bottom w:val="single" w:color="4F81BD" w:sz="8" w:space="0"/>
              <w:right w:val="dotted" w:color="auto" w:sz="0" w:space="0"/>
            </w:tcBorders>
            <w:shd w:val="clear" w:color="auto" w:fill="FFFFFF"/>
            <w:noWrap/>
            <w:vAlign w:val="center"/>
          </w:tcPr>
          <w:p w14:paraId="4106087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Arial Narrow" w:hAnsi="Arial Narrow" w:eastAsia="Arial Narrow" w:cs="Arial Narrow"/>
                <w:i w:val="0"/>
                <w:iCs w:val="0"/>
                <w:color w:val="000000"/>
                <w:sz w:val="16"/>
                <w:szCs w:val="16"/>
                <w:u w:val="none"/>
              </w:rPr>
            </w:pPr>
          </w:p>
        </w:tc>
        <w:tc>
          <w:tcPr>
            <w:tcW w:w="645" w:type="pct"/>
            <w:tcBorders>
              <w:top w:val="single" w:color="4F81BD" w:sz="8" w:space="0"/>
              <w:left w:val="dotted" w:color="auto" w:sz="0" w:space="0"/>
              <w:bottom w:val="single" w:color="4F81BD" w:sz="8" w:space="0"/>
              <w:right w:val="single" w:color="4F81BD" w:sz="8" w:space="0"/>
            </w:tcBorders>
            <w:shd w:val="clear" w:color="auto" w:fill="FFFFFF"/>
            <w:noWrap/>
            <w:vAlign w:val="center"/>
          </w:tcPr>
          <w:p w14:paraId="2822D12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Arial Narrow" w:hAnsi="Arial Narrow" w:eastAsia="Arial Narrow" w:cs="Arial Narrow"/>
                <w:i w:val="0"/>
                <w:iCs w:val="0"/>
                <w:color w:val="000000"/>
                <w:sz w:val="16"/>
                <w:szCs w:val="16"/>
                <w:u w:val="none"/>
              </w:rPr>
            </w:pPr>
          </w:p>
        </w:tc>
      </w:tr>
      <w:tr w14:paraId="17A60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vAlign w:val="center"/>
          </w:tcPr>
          <w:p w14:paraId="409CA5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行次</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55CD25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项目</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7B1AC4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合计</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02B24A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2022年</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1ADFEE5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2023年</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2C75E8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2024年</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2CBB25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2025年</w:t>
            </w:r>
          </w:p>
        </w:tc>
      </w:tr>
      <w:tr w14:paraId="731C9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0034C5E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700F91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投资进度</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371D8E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123EB0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28.00%</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266692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30.00%</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2258DC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30.00%</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09D88A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12.00%</w:t>
            </w:r>
          </w:p>
        </w:tc>
      </w:tr>
      <w:tr w14:paraId="5A4B4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396102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110E72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一、投资</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0664E7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28590C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26C0D43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39070A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6A2800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75565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1DC2136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6C6531C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（一）建设投资</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218E26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64,887.17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390567F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18,674.33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46F7929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19,414.00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69BB90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18,920.00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5F4238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7,878.83 </w:t>
            </w:r>
          </w:p>
        </w:tc>
      </w:tr>
      <w:tr w14:paraId="69479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7D01BE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5BAF1D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r>
              <w:rPr>
                <w:rFonts w:hint="default" w:ascii="华文仿宋" w:hAnsi="华文仿宋" w:eastAsia="华文仿宋" w:cs="华文仿宋"/>
                <w:i w:val="0"/>
                <w:iCs w:val="0"/>
                <w:color w:val="000000"/>
                <w:kern w:val="0"/>
                <w:sz w:val="16"/>
                <w:szCs w:val="16"/>
                <w:u w:val="none"/>
                <w:lang w:val="en-US" w:eastAsia="zh-CN" w:bidi="ar"/>
              </w:rPr>
              <w:t>、工程费用</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7D193E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55,852.35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6527EC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16,074.14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6FCC14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16,710.82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6A6093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16,285.60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48877A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6,781.79 </w:t>
            </w:r>
          </w:p>
        </w:tc>
      </w:tr>
      <w:tr w14:paraId="1B099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5B6777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5</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59BD000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w:t>
            </w:r>
            <w:r>
              <w:rPr>
                <w:rFonts w:hint="default" w:ascii="Arial Narrow" w:hAnsi="Arial Narrow" w:eastAsia="Arial Narrow" w:cs="Arial Narrow"/>
                <w:i w:val="0"/>
                <w:iCs w:val="0"/>
                <w:color w:val="000000"/>
                <w:kern w:val="0"/>
                <w:sz w:val="16"/>
                <w:szCs w:val="16"/>
                <w:u w:val="none"/>
                <w:lang w:val="en-US" w:eastAsia="zh-CN" w:bidi="ar"/>
              </w:rPr>
              <w:t>1</w:t>
            </w:r>
            <w:r>
              <w:rPr>
                <w:rFonts w:hint="default" w:ascii="华文仿宋" w:hAnsi="华文仿宋" w:eastAsia="华文仿宋" w:cs="华文仿宋"/>
                <w:i w:val="0"/>
                <w:iCs w:val="0"/>
                <w:color w:val="000000"/>
                <w:kern w:val="0"/>
                <w:sz w:val="16"/>
                <w:szCs w:val="16"/>
                <w:u w:val="none"/>
                <w:lang w:val="en-US" w:eastAsia="zh-CN" w:bidi="ar"/>
              </w:rPr>
              <w:t>）建筑安装工程</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5F351B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53,352.35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3024FA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15,354.65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3EC142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15,962.83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18A50D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15,556.64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5E12C5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6,478.23 </w:t>
            </w:r>
          </w:p>
        </w:tc>
      </w:tr>
      <w:tr w14:paraId="2D126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0677C7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6</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3211467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w:t>
            </w:r>
            <w:r>
              <w:rPr>
                <w:rFonts w:hint="default" w:ascii="Arial Narrow" w:hAnsi="Arial Narrow" w:eastAsia="Arial Narrow" w:cs="Arial Narrow"/>
                <w:i w:val="0"/>
                <w:iCs w:val="0"/>
                <w:color w:val="000000"/>
                <w:kern w:val="0"/>
                <w:sz w:val="16"/>
                <w:szCs w:val="16"/>
                <w:u w:val="none"/>
                <w:lang w:val="en-US" w:eastAsia="zh-CN" w:bidi="ar"/>
              </w:rPr>
              <w:t>2</w:t>
            </w:r>
            <w:r>
              <w:rPr>
                <w:rFonts w:hint="default" w:ascii="华文仿宋" w:hAnsi="华文仿宋" w:eastAsia="华文仿宋" w:cs="华文仿宋"/>
                <w:i w:val="0"/>
                <w:iCs w:val="0"/>
                <w:color w:val="000000"/>
                <w:kern w:val="0"/>
                <w:sz w:val="16"/>
                <w:szCs w:val="16"/>
                <w:u w:val="none"/>
                <w:lang w:val="en-US" w:eastAsia="zh-CN" w:bidi="ar"/>
              </w:rPr>
              <w:t>）设备购置</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67B9FA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2,500.00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38BE450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719.49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135FD9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747.99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2BD173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728.96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522067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303.56 </w:t>
            </w:r>
          </w:p>
        </w:tc>
      </w:tr>
      <w:tr w14:paraId="24A1B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73C01C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7916E37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w:t>
            </w:r>
            <w:r>
              <w:rPr>
                <w:rFonts w:hint="default" w:ascii="华文仿宋" w:hAnsi="华文仿宋" w:eastAsia="华文仿宋" w:cs="华文仿宋"/>
                <w:i w:val="0"/>
                <w:iCs w:val="0"/>
                <w:color w:val="000000"/>
                <w:kern w:val="0"/>
                <w:sz w:val="16"/>
                <w:szCs w:val="16"/>
                <w:u w:val="none"/>
                <w:lang w:val="en-US" w:eastAsia="zh-CN" w:bidi="ar"/>
              </w:rPr>
              <w:t>、工程建设其他费用</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4172A6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6,016.38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37F663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1,731.50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7719BA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1,800.08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2181AD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1,754.27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14358E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730.53 </w:t>
            </w:r>
          </w:p>
        </w:tc>
      </w:tr>
      <w:tr w14:paraId="0C85A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78ACA0C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3F1AB04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w:t>
            </w:r>
            <w:r>
              <w:rPr>
                <w:rFonts w:hint="default" w:ascii="华文仿宋" w:hAnsi="华文仿宋" w:eastAsia="华文仿宋" w:cs="华文仿宋"/>
                <w:i w:val="0"/>
                <w:iCs w:val="0"/>
                <w:color w:val="000000"/>
                <w:kern w:val="0"/>
                <w:sz w:val="16"/>
                <w:szCs w:val="16"/>
                <w:u w:val="none"/>
                <w:lang w:val="en-US" w:eastAsia="zh-CN" w:bidi="ar"/>
              </w:rPr>
              <w:t>、预备费用</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46825F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3,018.44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3486CA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868.70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783B28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903.11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40BC51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880.13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25DC39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366.51 </w:t>
            </w:r>
          </w:p>
        </w:tc>
      </w:tr>
      <w:tr w14:paraId="52792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7785AD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9</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5E535B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w:t>
            </w:r>
            <w:r>
              <w:rPr>
                <w:rFonts w:hint="default" w:ascii="华文仿宋" w:hAnsi="华文仿宋" w:eastAsia="华文仿宋" w:cs="华文仿宋"/>
                <w:i w:val="0"/>
                <w:iCs w:val="0"/>
                <w:color w:val="000000"/>
                <w:kern w:val="0"/>
                <w:sz w:val="16"/>
                <w:szCs w:val="16"/>
                <w:u w:val="none"/>
                <w:lang w:val="en-US" w:eastAsia="zh-CN" w:bidi="ar"/>
              </w:rPr>
              <w:t>、土地费用</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752F49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6FA7CD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5B57957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4D0F3F7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7859F6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5C608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6FE649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10</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4F8D7F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5 </w:t>
            </w:r>
            <w:r>
              <w:rPr>
                <w:rFonts w:hint="default" w:ascii="华文仿宋" w:hAnsi="华文仿宋" w:eastAsia="华文仿宋" w:cs="华文仿宋"/>
                <w:i w:val="0"/>
                <w:iCs w:val="0"/>
                <w:color w:val="000000"/>
                <w:kern w:val="0"/>
                <w:sz w:val="16"/>
                <w:szCs w:val="16"/>
                <w:u w:val="none"/>
                <w:lang w:val="en-US" w:eastAsia="zh-CN" w:bidi="ar"/>
              </w:rPr>
              <w:t>征地费用</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78E7C6C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4ECFA4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3826A0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180E01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34459B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1B335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196849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11</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74CA4A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（二）流动资金</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4A5BCA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60A1270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663898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1ABCD6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104AD0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75531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10BFCF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12</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4F787BA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（三）建设期利息</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0139D3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3,277.83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137D16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411.67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544C42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1,036.00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5744DBD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1,530.00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2C9A50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300.17 </w:t>
            </w:r>
          </w:p>
        </w:tc>
      </w:tr>
      <w:tr w14:paraId="78404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056089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13</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17B11A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华文仿宋" w:hAnsi="华文仿宋" w:eastAsia="华文仿宋" w:cs="华文仿宋"/>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（四）专项债券发行费用</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3F7C52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35.00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357C86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48EDA0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73F913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00EEAE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5.00 </w:t>
            </w:r>
          </w:p>
        </w:tc>
      </w:tr>
      <w:tr w14:paraId="3F6AB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3F67F2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14</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4A42839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小计（</w:t>
            </w:r>
            <w:r>
              <w:rPr>
                <w:rFonts w:hint="default" w:ascii="Arial Narrow" w:hAnsi="Arial Narrow" w:eastAsia="Arial Narrow" w:cs="Arial Narrow"/>
                <w:i w:val="0"/>
                <w:iCs w:val="0"/>
                <w:color w:val="000000"/>
                <w:kern w:val="0"/>
                <w:sz w:val="16"/>
                <w:szCs w:val="16"/>
                <w:u w:val="none"/>
                <w:lang w:val="en-US" w:eastAsia="zh-CN" w:bidi="ar"/>
              </w:rPr>
              <w:t>3+11+12+13</w:t>
            </w:r>
            <w:r>
              <w:rPr>
                <w:rFonts w:hint="default" w:ascii="华文仿宋" w:hAnsi="华文仿宋" w:eastAsia="华文仿宋" w:cs="华文仿宋"/>
                <w:i w:val="0"/>
                <w:iCs w:val="0"/>
                <w:color w:val="000000"/>
                <w:kern w:val="0"/>
                <w:sz w:val="16"/>
                <w:szCs w:val="16"/>
                <w:u w:val="none"/>
                <w:lang w:val="en-US" w:eastAsia="zh-CN" w:bidi="ar"/>
              </w:rPr>
              <w:t>）</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6E86D3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68,200.00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1DDD25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19,096.00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47E3A9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20,460.00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75AF30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20,460.00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490D45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8,184.00 </w:t>
            </w:r>
          </w:p>
        </w:tc>
      </w:tr>
      <w:tr w14:paraId="745A4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3924CC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4B4276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二、筹资</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776D64A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20F7DB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4167D3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12B3B3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2D912A2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666AA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3CE496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16</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31D104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华文仿宋" w:hAnsi="华文仿宋" w:eastAsia="华文仿宋" w:cs="华文仿宋"/>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（一）资本金</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2434D9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21,200.00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025795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6,096.00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68AD4CD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6,460.00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042110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7,460.00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5B7B6C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1,184.00 </w:t>
            </w:r>
          </w:p>
        </w:tc>
      </w:tr>
      <w:tr w14:paraId="37B4E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69715F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17</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3B1808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华文仿宋" w:hAnsi="华文仿宋" w:eastAsia="华文仿宋" w:cs="华文仿宋"/>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（二）发行专项债券资本金</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71AF0C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35,000.00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36E3DD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10,000.00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376B059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10,000.00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097DE0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10,000.00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79A183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5,000.00 </w:t>
            </w:r>
          </w:p>
        </w:tc>
      </w:tr>
      <w:tr w14:paraId="79A0F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5EBAAD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18</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71707A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（三）市场化融资</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0644FE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12,000.00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49EDE1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3,000.00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1793E3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4,000.00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1D43E8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3,000.00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472528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2,000.00 </w:t>
            </w:r>
          </w:p>
        </w:tc>
      </w:tr>
      <w:tr w14:paraId="1EFD9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02"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393858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19</w:t>
            </w:r>
          </w:p>
        </w:tc>
        <w:tc>
          <w:tcPr>
            <w:tcW w:w="994" w:type="pct"/>
            <w:tcBorders>
              <w:top w:val="single" w:color="4F81BD" w:sz="8" w:space="0"/>
              <w:left w:val="dotted" w:color="auto" w:sz="4" w:space="0"/>
              <w:bottom w:val="single" w:color="4F81BD" w:sz="8" w:space="0"/>
              <w:right w:val="dotted" w:color="auto" w:sz="4" w:space="0"/>
            </w:tcBorders>
            <w:shd w:val="clear" w:color="auto" w:fill="FFFFFF"/>
            <w:vAlign w:val="center"/>
          </w:tcPr>
          <w:p w14:paraId="796010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 xml:space="preserve"> 小计</w:t>
            </w:r>
            <w:r>
              <w:rPr>
                <w:rFonts w:hint="default" w:ascii="Arial Narrow" w:hAnsi="Arial Narrow" w:eastAsia="Arial Narrow" w:cs="Arial Narrow"/>
                <w:i w:val="0"/>
                <w:iCs w:val="0"/>
                <w:color w:val="000000"/>
                <w:kern w:val="0"/>
                <w:sz w:val="16"/>
                <w:szCs w:val="16"/>
                <w:u w:val="none"/>
                <w:lang w:val="en-US" w:eastAsia="zh-CN" w:bidi="ar"/>
              </w:rPr>
              <w:t>（16+1</w:t>
            </w:r>
            <w:r>
              <w:rPr>
                <w:rFonts w:hint="default" w:ascii="华文仿宋" w:hAnsi="华文仿宋" w:eastAsia="华文仿宋" w:cs="华文仿宋"/>
                <w:i w:val="0"/>
                <w:iCs w:val="0"/>
                <w:color w:val="000000"/>
                <w:kern w:val="0"/>
                <w:sz w:val="16"/>
                <w:szCs w:val="16"/>
                <w:u w:val="none"/>
                <w:lang w:val="en-US" w:eastAsia="zh-CN" w:bidi="ar"/>
              </w:rPr>
              <w:t xml:space="preserve">7） </w:t>
            </w:r>
          </w:p>
        </w:tc>
        <w:tc>
          <w:tcPr>
            <w:tcW w:w="580" w:type="pct"/>
            <w:tcBorders>
              <w:top w:val="single" w:color="4F81BD" w:sz="8" w:space="0"/>
              <w:left w:val="dotted" w:color="auto" w:sz="4" w:space="0"/>
              <w:bottom w:val="single" w:color="4F81BD" w:sz="8" w:space="0"/>
              <w:right w:val="dotted" w:color="auto" w:sz="4" w:space="0"/>
            </w:tcBorders>
            <w:shd w:val="clear" w:color="auto" w:fill="FFFFFF"/>
            <w:vAlign w:val="center"/>
          </w:tcPr>
          <w:p w14:paraId="6B5F2E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68,200.00 </w:t>
            </w:r>
          </w:p>
        </w:tc>
        <w:tc>
          <w:tcPr>
            <w:tcW w:w="1199" w:type="pct"/>
            <w:tcBorders>
              <w:top w:val="single" w:color="4F81BD" w:sz="8" w:space="0"/>
              <w:left w:val="dotted" w:color="auto" w:sz="4" w:space="0"/>
              <w:bottom w:val="single" w:color="4F81BD" w:sz="8" w:space="0"/>
              <w:right w:val="dotted" w:color="auto" w:sz="4" w:space="0"/>
            </w:tcBorders>
            <w:shd w:val="clear" w:color="auto" w:fill="FFFFFF"/>
            <w:vAlign w:val="center"/>
          </w:tcPr>
          <w:p w14:paraId="5BF09E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19,096.00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7272C78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20,460.00 </w:t>
            </w:r>
          </w:p>
        </w:tc>
        <w:tc>
          <w:tcPr>
            <w:tcW w:w="639" w:type="pct"/>
            <w:tcBorders>
              <w:top w:val="single" w:color="4F81BD" w:sz="8" w:space="0"/>
              <w:left w:val="dotted" w:color="auto" w:sz="4" w:space="0"/>
              <w:bottom w:val="single" w:color="4F81BD" w:sz="8" w:space="0"/>
              <w:right w:val="dotted" w:color="auto" w:sz="4" w:space="0"/>
            </w:tcBorders>
            <w:shd w:val="clear" w:color="auto" w:fill="FFFFFF"/>
            <w:vAlign w:val="center"/>
          </w:tcPr>
          <w:p w14:paraId="5229A6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20,460.00 </w:t>
            </w:r>
          </w:p>
        </w:tc>
        <w:tc>
          <w:tcPr>
            <w:tcW w:w="645" w:type="pct"/>
            <w:tcBorders>
              <w:top w:val="single" w:color="4F81BD" w:sz="8" w:space="0"/>
              <w:left w:val="dotted" w:color="auto" w:sz="4" w:space="0"/>
              <w:bottom w:val="single" w:color="4F81BD" w:sz="8" w:space="0"/>
              <w:right w:val="single" w:color="4F81BD" w:sz="8" w:space="0"/>
            </w:tcBorders>
            <w:shd w:val="clear" w:color="auto" w:fill="FFFFFF"/>
            <w:vAlign w:val="center"/>
          </w:tcPr>
          <w:p w14:paraId="0FD732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8,184.00 </w:t>
            </w:r>
          </w:p>
        </w:tc>
      </w:tr>
    </w:tbl>
    <w:p w14:paraId="4E163C9E">
      <w:pPr>
        <w:snapToGrid w:val="0"/>
        <w:spacing w:beforeLines="100"/>
        <w:ind w:left="0" w:leftChars="0" w:firstLine="562" w:firstLineChars="200"/>
        <w:outlineLvl w:val="0"/>
        <w:rPr>
          <w:rFonts w:cs="仿宋"/>
          <w:b/>
          <w:bCs/>
          <w:sz w:val="28"/>
          <w:szCs w:val="28"/>
        </w:rPr>
      </w:pPr>
      <w:r>
        <w:rPr>
          <w:rFonts w:hint="eastAsia" w:cs="仿宋"/>
          <w:b/>
          <w:bCs/>
          <w:sz w:val="28"/>
          <w:szCs w:val="28"/>
        </w:rPr>
        <w:t>四、项目预期收益、成本及融资平衡情况</w:t>
      </w:r>
    </w:p>
    <w:p w14:paraId="70E882ED">
      <w:pPr>
        <w:ind w:firstLine="643"/>
        <w:outlineLvl w:val="1"/>
        <w:rPr>
          <w:rFonts w:cs="仿宋"/>
          <w:b/>
          <w:sz w:val="28"/>
          <w:szCs w:val="28"/>
        </w:rPr>
      </w:pPr>
      <w:r>
        <w:rPr>
          <w:rFonts w:hint="eastAsia" w:cs="仿宋"/>
          <w:b/>
          <w:sz w:val="28"/>
          <w:szCs w:val="28"/>
        </w:rPr>
        <w:t>（一）预期收益</w:t>
      </w:r>
    </w:p>
    <w:p w14:paraId="4B8096B9">
      <w:pPr>
        <w:ind w:firstLine="643"/>
        <w:outlineLvl w:val="2"/>
        <w:rPr>
          <w:rFonts w:cs="仿宋"/>
          <w:b/>
          <w:sz w:val="28"/>
          <w:szCs w:val="28"/>
        </w:rPr>
      </w:pPr>
      <w:r>
        <w:rPr>
          <w:rFonts w:hint="eastAsia" w:cs="仿宋"/>
          <w:b/>
          <w:sz w:val="28"/>
          <w:szCs w:val="28"/>
        </w:rPr>
        <w:t>1.项目收入</w:t>
      </w:r>
    </w:p>
    <w:p w14:paraId="136BE219">
      <w:pPr>
        <w:ind w:firstLine="643"/>
        <w:outlineLvl w:val="2"/>
        <w:rPr>
          <w:rFonts w:hint="eastAsia" w:ascii="仿宋" w:hAnsi="仿宋" w:cs="仿宋"/>
          <w:color w:val="auto"/>
          <w:sz w:val="28"/>
          <w:szCs w:val="28"/>
          <w:highlight w:val="none"/>
          <w:lang w:val="en-US" w:eastAsia="zh-CN"/>
        </w:rPr>
      </w:pPr>
      <w:r>
        <w:rPr>
          <w:rFonts w:hint="eastAsia" w:ascii="仿宋" w:hAnsi="仿宋" w:cs="仿宋"/>
          <w:sz w:val="28"/>
          <w:szCs w:val="28"/>
        </w:rPr>
        <w:t>本项目收入主要来源为供水收入（其中包含居民用水收入，企业用水收入）以及政府补贴收入。</w:t>
      </w:r>
    </w:p>
    <w:p w14:paraId="0DD2DFF5">
      <w:pPr>
        <w:ind w:firstLine="643"/>
        <w:outlineLvl w:val="2"/>
        <w:rPr>
          <w:rFonts w:cs="仿宋"/>
          <w:b/>
          <w:sz w:val="28"/>
          <w:szCs w:val="28"/>
        </w:rPr>
      </w:pPr>
      <w:r>
        <w:rPr>
          <w:rFonts w:hint="eastAsia" w:cs="仿宋"/>
          <w:b/>
          <w:sz w:val="28"/>
          <w:szCs w:val="28"/>
        </w:rPr>
        <w:t>2.项目成本</w:t>
      </w:r>
    </w:p>
    <w:p w14:paraId="48814DE1">
      <w:pPr>
        <w:keepNext w:val="0"/>
        <w:keepLines w:val="0"/>
        <w:widowControl/>
        <w:suppressLineNumbers w:val="0"/>
        <w:jc w:val="both"/>
        <w:rPr>
          <w:rFonts w:hint="eastAsia" w:cs="仿宋"/>
          <w:spacing w:val="6"/>
          <w:sz w:val="28"/>
          <w:szCs w:val="28"/>
        </w:rPr>
      </w:pPr>
      <w:r>
        <w:rPr>
          <w:rFonts w:hint="eastAsia" w:cs="仿宋"/>
          <w:sz w:val="28"/>
          <w:szCs w:val="28"/>
        </w:rPr>
        <w:t>主要指项目实施后，经营过程中增加的相应成本费用，包括项目经营成本、设备维护及更新、人员工资福利、水电等成本、修理费、折旧、摊销、利息支出等。</w:t>
      </w:r>
      <w:r>
        <w:rPr>
          <w:rFonts w:hint="default" w:ascii="Times New Roman" w:hAnsi="Times New Roman" w:eastAsia="仿宋_GB2312" w:cs="Times New Roman"/>
          <w:color w:val="000000"/>
          <w:kern w:val="0"/>
          <w:sz w:val="28"/>
          <w:szCs w:val="28"/>
          <w:lang w:val="en-US" w:eastAsia="zh-CN" w:bidi="ar"/>
        </w:rPr>
        <w:t>本项目运营期总成本为</w:t>
      </w:r>
      <w:r>
        <w:rPr>
          <w:rFonts w:hint="eastAsia" w:cs="仿宋"/>
          <w:sz w:val="28"/>
          <w:szCs w:val="28"/>
          <w:lang w:val="en-US" w:eastAsia="en-US"/>
        </w:rPr>
        <w:t>8,079.17</w:t>
      </w:r>
      <w:r>
        <w:rPr>
          <w:rFonts w:hint="eastAsia" w:eastAsia="仿宋_GB2312" w:cs="Times New Roman"/>
          <w:color w:val="000000"/>
          <w:kern w:val="0"/>
          <w:sz w:val="28"/>
          <w:szCs w:val="28"/>
          <w:lang w:val="en-US" w:eastAsia="zh-CN" w:bidi="ar"/>
        </w:rPr>
        <w:t>万元（含税）</w:t>
      </w:r>
      <w:r>
        <w:rPr>
          <w:rFonts w:hint="eastAsia" w:ascii="Times New Roman" w:hAnsi="Times New Roman" w:eastAsia="仿宋_GB2312" w:cs="Times New Roman"/>
          <w:color w:val="000000"/>
          <w:kern w:val="0"/>
          <w:sz w:val="28"/>
          <w:szCs w:val="28"/>
          <w:lang w:val="en-US" w:eastAsia="zh-CN" w:bidi="ar"/>
        </w:rPr>
        <w:t>。</w:t>
      </w:r>
    </w:p>
    <w:p w14:paraId="16C6D895">
      <w:pPr>
        <w:widowControl w:val="0"/>
        <w:spacing w:before="156" w:beforeLines="50" w:after="156" w:afterLines="50" w:line="360" w:lineRule="auto"/>
        <w:ind w:firstLine="562" w:firstLineChars="200"/>
        <w:outlineLvl w:val="2"/>
        <w:rPr>
          <w:rFonts w:ascii="仿宋" w:hAnsi="仿宋" w:eastAsia="仿宋" w:cs="仿宋"/>
          <w:b/>
          <w:bCs/>
          <w:kern w:val="2"/>
          <w:sz w:val="28"/>
          <w:szCs w:val="28"/>
        </w:rPr>
      </w:pPr>
      <w:r>
        <w:rPr>
          <w:rFonts w:hint="eastAsia" w:ascii="仿宋" w:hAnsi="仿宋" w:eastAsia="仿宋" w:cs="仿宋"/>
          <w:b/>
          <w:bCs/>
          <w:kern w:val="2"/>
          <w:sz w:val="28"/>
          <w:szCs w:val="28"/>
        </w:rPr>
        <w:t>3.项目损益</w:t>
      </w:r>
    </w:p>
    <w:p w14:paraId="15A44508">
      <w:pPr>
        <w:pStyle w:val="18"/>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sz w:val="28"/>
          <w:szCs w:val="28"/>
          <w:lang w:val="en-US" w:eastAsia="zh-CN"/>
        </w:rPr>
        <w:sectPr>
          <w:headerReference r:id="rId5" w:type="default"/>
          <w:footerReference r:id="rId6" w:type="default"/>
          <w:pgSz w:w="11906" w:h="16838"/>
          <w:pgMar w:top="2098" w:right="1418" w:bottom="1588" w:left="1644" w:header="851" w:footer="992" w:gutter="0"/>
          <w:pgNumType w:fmt="numberInDash"/>
          <w:cols w:space="720" w:num="1"/>
          <w:docGrid w:type="lines" w:linePitch="435" w:charSpace="0"/>
        </w:sectPr>
      </w:pPr>
      <w:r>
        <w:rPr>
          <w:rFonts w:hint="eastAsia"/>
          <w:sz w:val="28"/>
          <w:szCs w:val="28"/>
          <w:lang w:val="en-US" w:eastAsia="zh-CN"/>
        </w:rPr>
        <w:t>根据《中华人民共和国企业所得税法》第十八条：企业纳税年度发生的亏损，专准予向以后年度结属转，用以后年度的所得弥补，但结转年限最长不得超过五年。本项目中所得税按25%计算。</w:t>
      </w:r>
      <w:r>
        <w:rPr>
          <w:rFonts w:hint="eastAsia" w:ascii="宋体" w:hAnsi="宋体" w:cs="宋体"/>
          <w:sz w:val="28"/>
          <w:szCs w:val="28"/>
        </w:rPr>
        <w:t>项</w:t>
      </w:r>
      <w:r>
        <w:rPr>
          <w:rFonts w:hint="default" w:ascii="Times New Roman" w:hAnsi="Times New Roman" w:eastAsia="仿宋" w:cs="Times New Roman"/>
          <w:color w:val="auto"/>
          <w:kern w:val="0"/>
          <w:sz w:val="28"/>
          <w:szCs w:val="28"/>
          <w:lang w:val="en-US" w:eastAsia="zh-CN" w:bidi="ar"/>
        </w:rPr>
        <w:t>本项目在债券存续期内项目总收入估算结果为 103,906.98 万元（含税），累计净利润为</w:t>
      </w:r>
      <w:r>
        <w:rPr>
          <w:rFonts w:hint="default" w:ascii="Times New Roman" w:hAnsi="Times New Roman" w:cs="Times New Roman"/>
          <w:color w:val="auto"/>
          <w:kern w:val="0"/>
          <w:sz w:val="28"/>
          <w:szCs w:val="28"/>
          <w:lang w:val="en-US" w:eastAsia="zh-CN" w:bidi="ar"/>
        </w:rPr>
        <w:t xml:space="preserve">17,736.40 </w:t>
      </w:r>
      <w:r>
        <w:rPr>
          <w:rFonts w:hint="default" w:ascii="Times New Roman" w:hAnsi="Times New Roman" w:eastAsia="仿宋" w:cs="Times New Roman"/>
          <w:color w:val="auto"/>
          <w:kern w:val="0"/>
          <w:sz w:val="28"/>
          <w:szCs w:val="28"/>
          <w:lang w:val="en-US" w:eastAsia="zh-CN" w:bidi="ar"/>
        </w:rPr>
        <w:t>万</w:t>
      </w:r>
      <w:r>
        <w:rPr>
          <w:rFonts w:hint="eastAsia" w:ascii="仿宋" w:hAnsi="仿宋" w:eastAsia="仿宋" w:cs="仿宋"/>
          <w:color w:val="auto"/>
          <w:kern w:val="0"/>
          <w:sz w:val="28"/>
          <w:szCs w:val="28"/>
          <w:lang w:val="en-US" w:eastAsia="zh-CN" w:bidi="ar"/>
        </w:rPr>
        <w:t>元。</w:t>
      </w:r>
      <w:r>
        <w:rPr>
          <w:rFonts w:hint="eastAsia"/>
          <w:sz w:val="28"/>
          <w:szCs w:val="28"/>
          <w:lang w:val="en-US" w:eastAsia="zh-CN"/>
        </w:rPr>
        <w:t>项目有一定盈利，能够维持运营和发展需要。</w:t>
      </w:r>
    </w:p>
    <w:p w14:paraId="76D366D0">
      <w:pPr>
        <w:snapToGrid w:val="0"/>
        <w:spacing w:beforeLines="100"/>
        <w:outlineLvl w:val="1"/>
        <w:rPr>
          <w:rFonts w:cs="仿宋"/>
          <w:sz w:val="28"/>
          <w:szCs w:val="28"/>
          <w:lang w:val="en-GB"/>
        </w:rPr>
      </w:pPr>
      <w:r>
        <w:rPr>
          <w:rFonts w:hint="eastAsia" w:cs="仿宋"/>
          <w:b/>
          <w:sz w:val="28"/>
          <w:szCs w:val="28"/>
        </w:rPr>
        <w:t>（二）资金测算平衡情况</w:t>
      </w:r>
    </w:p>
    <w:p w14:paraId="1607D1FA">
      <w:pPr>
        <w:ind w:firstLine="640"/>
        <w:rPr>
          <w:rFonts w:cs="仿宋"/>
          <w:sz w:val="28"/>
          <w:szCs w:val="28"/>
        </w:rPr>
      </w:pPr>
      <w:r>
        <w:rPr>
          <w:rFonts w:hint="eastAsia" w:cs="仿宋"/>
          <w:sz w:val="28"/>
          <w:szCs w:val="28"/>
          <w:lang w:val="en-US" w:eastAsia="zh-CN"/>
        </w:rPr>
        <w:t>1</w:t>
      </w:r>
      <w:r>
        <w:rPr>
          <w:rFonts w:hint="eastAsia" w:cs="仿宋"/>
          <w:sz w:val="28"/>
          <w:szCs w:val="28"/>
        </w:rPr>
        <w:t>.专项债券融资资金测算平衡情况</w:t>
      </w:r>
    </w:p>
    <w:p w14:paraId="1AE57318">
      <w:pPr>
        <w:pStyle w:val="2"/>
        <w:rPr>
          <w:rFonts w:hint="eastAsia"/>
        </w:rPr>
      </w:pPr>
      <w:r>
        <w:rPr>
          <w:rFonts w:hint="eastAsia" w:ascii="仿宋_GB2312" w:eastAsia="仿宋_GB2312"/>
          <w:sz w:val="28"/>
          <w:szCs w:val="28"/>
        </w:rPr>
        <w:t>根据融资平衡测算分析，在满足假设条件的前提下，本项目计算期内本项目可以实现累计盈余资金 20,181.56 万元，其中：融资项目收益专项债券本息覆盖率=息前现金净流量÷运营期债券本息和=1.24；融资项目收益市场化融资本息覆盖率=息前现金净流量÷运营期市场化融资本息和=1.24；项目收益本息覆盖率=息前现金净流量÷运营期本息和=1.24。相关资金情况测算如下：</w:t>
      </w:r>
    </w:p>
    <w:tbl>
      <w:tblPr>
        <w:tblStyle w:val="1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17"/>
        <w:gridCol w:w="1266"/>
        <w:gridCol w:w="635"/>
        <w:gridCol w:w="520"/>
        <w:gridCol w:w="589"/>
        <w:gridCol w:w="589"/>
        <w:gridCol w:w="520"/>
        <w:gridCol w:w="589"/>
        <w:gridCol w:w="589"/>
        <w:gridCol w:w="589"/>
        <w:gridCol w:w="589"/>
        <w:gridCol w:w="589"/>
        <w:gridCol w:w="589"/>
        <w:gridCol w:w="589"/>
        <w:gridCol w:w="589"/>
        <w:gridCol w:w="589"/>
        <w:gridCol w:w="589"/>
        <w:gridCol w:w="590"/>
        <w:gridCol w:w="590"/>
        <w:gridCol w:w="636"/>
        <w:gridCol w:w="636"/>
        <w:gridCol w:w="590"/>
      </w:tblGrid>
      <w:tr w14:paraId="4B92A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5000" w:type="pct"/>
            <w:gridSpan w:val="22"/>
            <w:tcBorders>
              <w:top w:val="single" w:color="4F81BD" w:sz="8" w:space="0"/>
              <w:left w:val="single" w:color="4F81BD" w:sz="8" w:space="0"/>
              <w:bottom w:val="single" w:color="4F81BD" w:sz="8" w:space="0"/>
              <w:right w:val="dotted" w:color="auto" w:sz="0" w:space="0"/>
            </w:tcBorders>
            <w:shd w:val="clear" w:color="auto" w:fill="4F81BD"/>
            <w:noWrap/>
            <w:vAlign w:val="center"/>
          </w:tcPr>
          <w:p w14:paraId="09F7FAD2">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ascii="华文仿宋" w:hAnsi="华文仿宋" w:eastAsia="华文仿宋" w:cs="华文仿宋"/>
                <w:b/>
                <w:bCs/>
                <w:i w:val="0"/>
                <w:iCs w:val="0"/>
                <w:color w:val="FFFFFF"/>
                <w:sz w:val="20"/>
                <w:szCs w:val="20"/>
                <w:u w:val="none"/>
              </w:rPr>
            </w:pPr>
            <w:r>
              <w:rPr>
                <w:rFonts w:hint="default" w:ascii="华文仿宋" w:hAnsi="华文仿宋" w:eastAsia="华文仿宋" w:cs="华文仿宋"/>
                <w:b/>
                <w:bCs/>
                <w:i w:val="0"/>
                <w:iCs w:val="0"/>
                <w:color w:val="FFFFFF"/>
                <w:kern w:val="0"/>
                <w:sz w:val="20"/>
                <w:szCs w:val="20"/>
                <w:u w:val="none"/>
                <w:lang w:val="en-US" w:eastAsia="zh-CN" w:bidi="ar"/>
              </w:rPr>
              <w:t>组合融资本息覆盖倍数计算表</w:t>
            </w:r>
          </w:p>
        </w:tc>
      </w:tr>
      <w:tr w14:paraId="7974B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5000" w:type="pct"/>
            <w:gridSpan w:val="22"/>
            <w:tcBorders>
              <w:top w:val="single" w:color="4F81BD" w:sz="8" w:space="0"/>
              <w:left w:val="single" w:color="4F81BD" w:sz="8" w:space="0"/>
              <w:bottom w:val="single" w:color="4F81BD" w:sz="8" w:space="0"/>
              <w:right w:val="dotted" w:color="auto" w:sz="0" w:space="0"/>
            </w:tcBorders>
            <w:shd w:val="clear" w:color="auto" w:fill="FFFFFF"/>
            <w:noWrap/>
            <w:vAlign w:val="center"/>
          </w:tcPr>
          <w:p w14:paraId="7959B2D3">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金额单位：人民币万元 </w:t>
            </w:r>
          </w:p>
        </w:tc>
      </w:tr>
      <w:tr w14:paraId="39641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8" w:type="pct"/>
            <w:tcBorders>
              <w:top w:val="single" w:color="4F81BD" w:sz="8" w:space="0"/>
              <w:left w:val="single" w:color="4F81BD" w:sz="8" w:space="0"/>
              <w:bottom w:val="single" w:color="4F81BD" w:sz="8" w:space="0"/>
              <w:right w:val="dotted" w:color="auto" w:sz="4" w:space="0"/>
            </w:tcBorders>
            <w:shd w:val="clear" w:color="auto" w:fill="FFFFFF"/>
            <w:vAlign w:val="center"/>
          </w:tcPr>
          <w:p w14:paraId="27F1B109">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行次</w:t>
            </w:r>
          </w:p>
        </w:tc>
        <w:tc>
          <w:tcPr>
            <w:tcW w:w="491" w:type="pct"/>
            <w:tcBorders>
              <w:top w:val="single" w:color="4F81BD" w:sz="8" w:space="0"/>
              <w:left w:val="dotted" w:color="auto" w:sz="4" w:space="0"/>
              <w:bottom w:val="single" w:color="4F81BD" w:sz="8" w:space="0"/>
              <w:right w:val="dotted" w:color="auto" w:sz="4" w:space="0"/>
            </w:tcBorders>
            <w:shd w:val="clear" w:color="auto" w:fill="FFFFFF"/>
            <w:vAlign w:val="center"/>
          </w:tcPr>
          <w:p w14:paraId="6595B2C2">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项目</w:t>
            </w:r>
          </w:p>
        </w:tc>
        <w:tc>
          <w:tcPr>
            <w:tcW w:w="237" w:type="pct"/>
            <w:tcBorders>
              <w:top w:val="single" w:color="4F81BD" w:sz="8" w:space="0"/>
              <w:left w:val="dotted" w:color="auto" w:sz="4" w:space="0"/>
              <w:bottom w:val="single" w:color="4F81BD" w:sz="8" w:space="0"/>
              <w:right w:val="dotted" w:color="auto" w:sz="4" w:space="0"/>
            </w:tcBorders>
            <w:shd w:val="clear" w:color="auto" w:fill="FFFFFF"/>
            <w:vAlign w:val="center"/>
          </w:tcPr>
          <w:p w14:paraId="1FD85F3D">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 xml:space="preserve"> 合计 </w:t>
            </w:r>
          </w:p>
        </w:tc>
        <w:tc>
          <w:tcPr>
            <w:tcW w:w="190" w:type="pct"/>
            <w:tcBorders>
              <w:top w:val="single" w:color="4F81BD" w:sz="8" w:space="0"/>
              <w:left w:val="dotted" w:color="auto" w:sz="4" w:space="0"/>
              <w:bottom w:val="single" w:color="4F81BD" w:sz="8" w:space="0"/>
              <w:right w:val="dotted" w:color="auto" w:sz="4" w:space="0"/>
            </w:tcBorders>
            <w:shd w:val="clear" w:color="auto" w:fill="FFFFFF"/>
            <w:vAlign w:val="center"/>
          </w:tcPr>
          <w:p w14:paraId="3A72EA0A">
            <w:pPr>
              <w:keepNext w:val="0"/>
              <w:keepLines w:val="0"/>
              <w:pageBreakBefore w:val="0"/>
              <w:widowControl/>
              <w:suppressLineNumbers w:val="0"/>
              <w:kinsoku/>
              <w:wordWrap/>
              <w:overflowPunct/>
              <w:topLinePunct w:val="0"/>
              <w:bidi w:val="0"/>
              <w:adjustRightInd/>
              <w:snapToGrid/>
              <w:spacing w:line="240" w:lineRule="auto"/>
              <w:ind w:left="0" w:leftChars="0" w:right="0" w:rightChars="0"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2022</w:t>
            </w:r>
            <w:r>
              <w:rPr>
                <w:rFonts w:ascii="华文仿宋" w:hAnsi="华文仿宋" w:eastAsia="华文仿宋" w:cs="华文仿宋"/>
                <w:i w:val="0"/>
                <w:iCs w:val="0"/>
                <w:color w:val="000000"/>
                <w:kern w:val="0"/>
                <w:sz w:val="16"/>
                <w:szCs w:val="16"/>
                <w:u w:val="none"/>
                <w:lang w:val="en-US" w:eastAsia="zh-CN" w:bidi="ar"/>
              </w:rPr>
              <w:t>年</w:t>
            </w:r>
            <w:r>
              <w:rPr>
                <w:rFonts w:ascii="华文仿宋" w:hAnsi="华文仿宋" w:eastAsia="华文仿宋" w:cs="华文仿宋"/>
                <w:i w:val="0"/>
                <w:iCs w:val="0"/>
                <w:color w:val="000000"/>
                <w:kern w:val="0"/>
                <w:sz w:val="16"/>
                <w:szCs w:val="16"/>
                <w:u w:val="none"/>
                <w:lang w:val="en-US" w:eastAsia="zh-CN" w:bidi="ar"/>
              </w:rPr>
              <w:br w:type="textWrapping"/>
            </w:r>
            <w:r>
              <w:rPr>
                <w:rFonts w:hint="default" w:ascii="Arial Narrow" w:hAnsi="Arial Narrow" w:eastAsia="Arial Narrow" w:cs="Arial Narrow"/>
                <w:i w:val="0"/>
                <w:iCs w:val="0"/>
                <w:color w:val="000000"/>
                <w:kern w:val="0"/>
                <w:sz w:val="16"/>
                <w:szCs w:val="16"/>
                <w:u w:val="none"/>
                <w:lang w:val="en-US" w:eastAsia="zh-CN" w:bidi="ar"/>
              </w:rPr>
              <w:t>3</w:t>
            </w:r>
            <w:r>
              <w:rPr>
                <w:rFonts w:hint="eastAsia" w:ascii="宋体" w:hAnsi="宋体" w:eastAsia="宋体" w:cs="宋体"/>
                <w:i w:val="0"/>
                <w:iCs w:val="0"/>
                <w:color w:val="000000"/>
                <w:kern w:val="0"/>
                <w:sz w:val="16"/>
                <w:szCs w:val="16"/>
                <w:u w:val="none"/>
                <w:lang w:val="en-US" w:eastAsia="zh-CN" w:bidi="ar"/>
              </w:rPr>
              <w:t>月</w:t>
            </w:r>
            <w:r>
              <w:rPr>
                <w:rFonts w:hint="default" w:ascii="Arial Narrow" w:hAnsi="Arial Narrow" w:eastAsia="Arial Narrow" w:cs="Arial Narrow"/>
                <w:i w:val="0"/>
                <w:iCs w:val="0"/>
                <w:color w:val="000000"/>
                <w:kern w:val="0"/>
                <w:sz w:val="16"/>
                <w:szCs w:val="16"/>
                <w:u w:val="none"/>
                <w:lang w:val="en-US" w:eastAsia="zh-CN" w:bidi="ar"/>
              </w:rPr>
              <w:t>-12</w:t>
            </w:r>
            <w:r>
              <w:rPr>
                <w:rFonts w:hint="eastAsia" w:ascii="宋体" w:hAnsi="宋体" w:eastAsia="宋体" w:cs="宋体"/>
                <w:i w:val="0"/>
                <w:iCs w:val="0"/>
                <w:color w:val="000000"/>
                <w:kern w:val="0"/>
                <w:sz w:val="16"/>
                <w:szCs w:val="16"/>
                <w:u w:val="none"/>
                <w:lang w:val="en-US" w:eastAsia="zh-CN" w:bidi="ar"/>
              </w:rPr>
              <w:t>月</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39182AA9">
            <w:pPr>
              <w:keepNext w:val="0"/>
              <w:keepLines w:val="0"/>
              <w:pageBreakBefore w:val="0"/>
              <w:widowControl/>
              <w:suppressLineNumbers w:val="0"/>
              <w:kinsoku/>
              <w:wordWrap/>
              <w:overflowPunct/>
              <w:topLinePunct w:val="0"/>
              <w:bidi w:val="0"/>
              <w:adjustRightInd/>
              <w:snapToGrid/>
              <w:spacing w:line="240" w:lineRule="auto"/>
              <w:ind w:left="0" w:leftChars="0" w:right="0" w:rightChars="0"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2023</w:t>
            </w:r>
            <w:r>
              <w:rPr>
                <w:rFonts w:ascii="华文仿宋" w:hAnsi="华文仿宋" w:eastAsia="华文仿宋" w:cs="华文仿宋"/>
                <w:i w:val="0"/>
                <w:iCs w:val="0"/>
                <w:color w:val="000000"/>
                <w:kern w:val="0"/>
                <w:sz w:val="16"/>
                <w:szCs w:val="16"/>
                <w:u w:val="none"/>
                <w:lang w:val="en-US" w:eastAsia="zh-CN" w:bidi="ar"/>
              </w:rPr>
              <w:t>年</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6485426D">
            <w:pPr>
              <w:keepNext w:val="0"/>
              <w:keepLines w:val="0"/>
              <w:pageBreakBefore w:val="0"/>
              <w:widowControl/>
              <w:suppressLineNumbers w:val="0"/>
              <w:kinsoku/>
              <w:wordWrap/>
              <w:overflowPunct/>
              <w:topLinePunct w:val="0"/>
              <w:bidi w:val="0"/>
              <w:adjustRightInd/>
              <w:snapToGrid/>
              <w:spacing w:line="240" w:lineRule="auto"/>
              <w:ind w:left="0" w:leftChars="0" w:right="0" w:rightChars="0"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2024</w:t>
            </w:r>
            <w:r>
              <w:rPr>
                <w:rFonts w:hint="eastAsia" w:ascii="宋体" w:hAnsi="宋体" w:eastAsia="宋体" w:cs="宋体"/>
                <w:i w:val="0"/>
                <w:iCs w:val="0"/>
                <w:color w:val="000000"/>
                <w:kern w:val="0"/>
                <w:sz w:val="16"/>
                <w:szCs w:val="16"/>
                <w:u w:val="none"/>
                <w:lang w:val="en-US" w:eastAsia="zh-CN" w:bidi="ar"/>
              </w:rPr>
              <w:t>年</w:t>
            </w:r>
          </w:p>
        </w:tc>
        <w:tc>
          <w:tcPr>
            <w:tcW w:w="190" w:type="pct"/>
            <w:tcBorders>
              <w:top w:val="single" w:color="4F81BD" w:sz="8" w:space="0"/>
              <w:left w:val="dotted" w:color="auto" w:sz="4" w:space="0"/>
              <w:bottom w:val="single" w:color="4F81BD" w:sz="8" w:space="0"/>
              <w:right w:val="dotted" w:color="auto" w:sz="4" w:space="0"/>
            </w:tcBorders>
            <w:shd w:val="clear" w:color="auto" w:fill="FFFFFF"/>
            <w:vAlign w:val="center"/>
          </w:tcPr>
          <w:p w14:paraId="1D55729F">
            <w:pPr>
              <w:keepNext w:val="0"/>
              <w:keepLines w:val="0"/>
              <w:pageBreakBefore w:val="0"/>
              <w:widowControl/>
              <w:suppressLineNumbers w:val="0"/>
              <w:kinsoku/>
              <w:wordWrap/>
              <w:overflowPunct/>
              <w:topLinePunct w:val="0"/>
              <w:bidi w:val="0"/>
              <w:adjustRightInd/>
              <w:snapToGrid/>
              <w:spacing w:line="240" w:lineRule="auto"/>
              <w:ind w:left="0" w:leftChars="0" w:right="0" w:rightChars="0"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2025</w:t>
            </w:r>
            <w:r>
              <w:rPr>
                <w:rFonts w:ascii="华文仿宋" w:hAnsi="华文仿宋" w:eastAsia="华文仿宋" w:cs="华文仿宋"/>
                <w:i w:val="0"/>
                <w:iCs w:val="0"/>
                <w:color w:val="000000"/>
                <w:kern w:val="0"/>
                <w:sz w:val="16"/>
                <w:szCs w:val="16"/>
                <w:u w:val="none"/>
                <w:lang w:val="en-US" w:eastAsia="zh-CN" w:bidi="ar"/>
              </w:rPr>
              <w:t>年</w:t>
            </w:r>
            <w:r>
              <w:rPr>
                <w:rFonts w:ascii="华文仿宋" w:hAnsi="华文仿宋" w:eastAsia="华文仿宋" w:cs="华文仿宋"/>
                <w:i w:val="0"/>
                <w:iCs w:val="0"/>
                <w:color w:val="000000"/>
                <w:kern w:val="0"/>
                <w:sz w:val="16"/>
                <w:szCs w:val="16"/>
                <w:u w:val="none"/>
                <w:lang w:val="en-US" w:eastAsia="zh-CN" w:bidi="ar"/>
              </w:rPr>
              <w:br w:type="textWrapping"/>
            </w:r>
            <w:r>
              <w:rPr>
                <w:rFonts w:hint="default" w:ascii="Arial Narrow" w:hAnsi="Arial Narrow" w:eastAsia="Arial Narrow" w:cs="Arial Narrow"/>
                <w:i w:val="0"/>
                <w:iCs w:val="0"/>
                <w:color w:val="000000"/>
                <w:kern w:val="0"/>
                <w:sz w:val="16"/>
                <w:szCs w:val="16"/>
                <w:u w:val="none"/>
                <w:lang w:val="en-US" w:eastAsia="zh-CN" w:bidi="ar"/>
              </w:rPr>
              <w:t>1</w:t>
            </w:r>
            <w:r>
              <w:rPr>
                <w:rFonts w:hint="eastAsia" w:ascii="宋体" w:hAnsi="宋体" w:eastAsia="宋体" w:cs="宋体"/>
                <w:i w:val="0"/>
                <w:iCs w:val="0"/>
                <w:color w:val="000000"/>
                <w:kern w:val="0"/>
                <w:sz w:val="16"/>
                <w:szCs w:val="16"/>
                <w:u w:val="none"/>
                <w:lang w:val="en-US" w:eastAsia="zh-CN" w:bidi="ar"/>
              </w:rPr>
              <w:t>月-2月</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65C201E3">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2025年</w:t>
            </w:r>
            <w:r>
              <w:rPr>
                <w:rFonts w:hint="default" w:ascii="Arial Narrow" w:hAnsi="Arial Narrow" w:eastAsia="Arial Narrow" w:cs="Arial Narrow"/>
                <w:i w:val="0"/>
                <w:iCs w:val="0"/>
                <w:color w:val="000000"/>
                <w:kern w:val="0"/>
                <w:sz w:val="16"/>
                <w:szCs w:val="16"/>
                <w:u w:val="none"/>
                <w:lang w:val="en-US" w:eastAsia="zh-CN" w:bidi="ar"/>
              </w:rPr>
              <w:br w:type="textWrapping"/>
            </w:r>
            <w:r>
              <w:rPr>
                <w:rFonts w:hint="default" w:ascii="Arial Narrow" w:hAnsi="Arial Narrow" w:eastAsia="Arial Narrow" w:cs="Arial Narrow"/>
                <w:i w:val="0"/>
                <w:iCs w:val="0"/>
                <w:color w:val="000000"/>
                <w:kern w:val="0"/>
                <w:sz w:val="16"/>
                <w:szCs w:val="16"/>
                <w:u w:val="none"/>
                <w:lang w:val="en-US" w:eastAsia="zh-CN" w:bidi="ar"/>
              </w:rPr>
              <w:t xml:space="preserve">3月-12月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1A9C68A9">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2026年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70B6214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2027年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4E8A1D2E">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2028年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0376B3BD">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2029年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673E23B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2030年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619410FC">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2031年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69C25CA7">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2032年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5AF7EDFE">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2033年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1A45CED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2034年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5D56045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2035年 </w:t>
            </w:r>
          </w:p>
        </w:tc>
        <w:tc>
          <w:tcPr>
            <w:tcW w:w="218" w:type="pct"/>
            <w:tcBorders>
              <w:top w:val="single" w:color="4F81BD" w:sz="8" w:space="0"/>
              <w:left w:val="dotted" w:color="auto" w:sz="4" w:space="0"/>
              <w:bottom w:val="single" w:color="4F81BD" w:sz="8" w:space="0"/>
              <w:right w:val="dotted" w:color="auto" w:sz="4" w:space="0"/>
            </w:tcBorders>
            <w:shd w:val="clear" w:color="auto" w:fill="FFFFFF"/>
            <w:vAlign w:val="center"/>
          </w:tcPr>
          <w:p w14:paraId="2AC03EA3">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2036年 </w:t>
            </w:r>
          </w:p>
        </w:tc>
        <w:tc>
          <w:tcPr>
            <w:tcW w:w="237" w:type="pct"/>
            <w:tcBorders>
              <w:top w:val="single" w:color="4F81BD" w:sz="8" w:space="0"/>
              <w:left w:val="dotted" w:color="auto" w:sz="4" w:space="0"/>
              <w:bottom w:val="single" w:color="4F81BD" w:sz="8" w:space="0"/>
              <w:right w:val="dotted" w:color="auto" w:sz="4" w:space="0"/>
            </w:tcBorders>
            <w:shd w:val="clear" w:color="auto" w:fill="FFFFFF"/>
            <w:vAlign w:val="center"/>
          </w:tcPr>
          <w:p w14:paraId="47862E3C">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2037年 </w:t>
            </w:r>
          </w:p>
        </w:tc>
        <w:tc>
          <w:tcPr>
            <w:tcW w:w="237" w:type="pct"/>
            <w:tcBorders>
              <w:top w:val="single" w:color="4F81BD" w:sz="8" w:space="0"/>
              <w:left w:val="dotted" w:color="auto" w:sz="4" w:space="0"/>
              <w:bottom w:val="single" w:color="4F81BD" w:sz="8" w:space="0"/>
              <w:right w:val="dotted" w:color="auto" w:sz="4" w:space="0"/>
            </w:tcBorders>
            <w:shd w:val="clear" w:color="auto" w:fill="FFFFFF"/>
            <w:vAlign w:val="center"/>
          </w:tcPr>
          <w:p w14:paraId="2444EEA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2038年 </w:t>
            </w:r>
          </w:p>
        </w:tc>
        <w:tc>
          <w:tcPr>
            <w:tcW w:w="243" w:type="pct"/>
            <w:tcBorders>
              <w:top w:val="single" w:color="4F81BD" w:sz="8" w:space="0"/>
              <w:left w:val="dotted" w:color="auto" w:sz="4" w:space="0"/>
              <w:bottom w:val="single" w:color="4F81BD" w:sz="8" w:space="0"/>
              <w:right w:val="single" w:color="4F81BD" w:sz="8" w:space="0"/>
            </w:tcBorders>
            <w:shd w:val="clear" w:color="auto" w:fill="FFFFFF"/>
            <w:vAlign w:val="center"/>
          </w:tcPr>
          <w:p w14:paraId="135A032D">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2039年 </w:t>
            </w:r>
          </w:p>
        </w:tc>
      </w:tr>
      <w:tr w14:paraId="291CA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08"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3D502147">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11</w:t>
            </w:r>
          </w:p>
        </w:tc>
        <w:tc>
          <w:tcPr>
            <w:tcW w:w="491"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95D78E9">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本金</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360B2CDB">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47,000.00 </w:t>
            </w:r>
          </w:p>
        </w:tc>
        <w:tc>
          <w:tcPr>
            <w:tcW w:w="190"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D385CD9">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8E4084B">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D63DD7E">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90"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427D9A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A46BBDE">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4DE5039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620.84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4580593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650.64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3F21327">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681.87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6EED3C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714.60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04B4A24F">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748.90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3734F1CD">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784.84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E3F93CE">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822.52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F48C45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862.00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D77B967">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903.37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C2A5510">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946.73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11CEF3C">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992.18 </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433F5EF">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21,039.80 </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015082E1">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11,089.71 </w:t>
            </w:r>
          </w:p>
        </w:tc>
        <w:tc>
          <w:tcPr>
            <w:tcW w:w="243" w:type="pct"/>
            <w:tcBorders>
              <w:top w:val="single" w:color="4F81BD" w:sz="8" w:space="0"/>
              <w:left w:val="dotted" w:color="auto" w:sz="4" w:space="0"/>
              <w:bottom w:val="single" w:color="4F81BD" w:sz="8" w:space="0"/>
              <w:right w:val="single" w:color="4F81BD" w:sz="8" w:space="0"/>
            </w:tcBorders>
            <w:shd w:val="clear" w:color="auto" w:fill="FFFFFF"/>
            <w:noWrap/>
            <w:vAlign w:val="center"/>
          </w:tcPr>
          <w:p w14:paraId="58075F6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6,142.02 </w:t>
            </w:r>
          </w:p>
        </w:tc>
      </w:tr>
      <w:tr w14:paraId="777C8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08"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77FF4DF7">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12</w:t>
            </w:r>
          </w:p>
        </w:tc>
        <w:tc>
          <w:tcPr>
            <w:tcW w:w="491"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3020A52B">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利息</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9E283F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24,642.70 </w:t>
            </w:r>
          </w:p>
        </w:tc>
        <w:tc>
          <w:tcPr>
            <w:tcW w:w="190"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59E26185">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411.67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161EA23">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1,036.00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01D59E52">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1,530.00 </w:t>
            </w:r>
          </w:p>
        </w:tc>
        <w:tc>
          <w:tcPr>
            <w:tcW w:w="190"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73276E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300.17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AEEB3EF">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1,500.83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536FDA76">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1,801.00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4FCE869D">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1,771.20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D9DC41E">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1,739.97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F14DBF0">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1,707.24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2CE6BA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1,672.94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A846C02">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1,636.99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A2E1D22">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1,599.32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47BBE07B">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1,559.84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10A4150">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1,518.46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7E168EB">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1,475.10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DCDF4D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1,429.66 </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10FDBA9">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1,090.37 </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0BB8E1AD">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632.12 </w:t>
            </w:r>
          </w:p>
        </w:tc>
        <w:tc>
          <w:tcPr>
            <w:tcW w:w="243" w:type="pct"/>
            <w:tcBorders>
              <w:top w:val="single" w:color="4F81BD" w:sz="8" w:space="0"/>
              <w:left w:val="dotted" w:color="auto" w:sz="4" w:space="0"/>
              <w:bottom w:val="single" w:color="4F81BD" w:sz="8" w:space="0"/>
              <w:right w:val="single" w:color="4F81BD" w:sz="8" w:space="0"/>
            </w:tcBorders>
            <w:shd w:val="clear" w:color="auto" w:fill="FFFFFF"/>
            <w:noWrap/>
            <w:vAlign w:val="center"/>
          </w:tcPr>
          <w:p w14:paraId="2960056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229.82 </w:t>
            </w:r>
          </w:p>
        </w:tc>
      </w:tr>
      <w:tr w14:paraId="211A1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08"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6C33022F">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13</w:t>
            </w:r>
          </w:p>
        </w:tc>
        <w:tc>
          <w:tcPr>
            <w:tcW w:w="491"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1C1354B">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本息合计（1</w:t>
            </w:r>
            <w:r>
              <w:rPr>
                <w:rFonts w:hint="default" w:ascii="Arial Narrow" w:hAnsi="Arial Narrow" w:eastAsia="Arial Narrow" w:cs="Arial Narrow"/>
                <w:i w:val="0"/>
                <w:iCs w:val="0"/>
                <w:color w:val="000000"/>
                <w:kern w:val="0"/>
                <w:sz w:val="16"/>
                <w:szCs w:val="16"/>
                <w:u w:val="none"/>
                <w:lang w:val="en-US" w:eastAsia="zh-CN" w:bidi="ar"/>
              </w:rPr>
              <w:t>1+12</w:t>
            </w:r>
            <w:r>
              <w:rPr>
                <w:rFonts w:hint="default" w:ascii="华文仿宋" w:hAnsi="华文仿宋" w:eastAsia="华文仿宋" w:cs="华文仿宋"/>
                <w:i w:val="0"/>
                <w:iCs w:val="0"/>
                <w:color w:val="000000"/>
                <w:kern w:val="0"/>
                <w:sz w:val="16"/>
                <w:szCs w:val="16"/>
                <w:u w:val="none"/>
                <w:lang w:val="en-US" w:eastAsia="zh-CN" w:bidi="ar"/>
              </w:rPr>
              <w:t>）</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50F963D2">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71,642.70 </w:t>
            </w:r>
          </w:p>
        </w:tc>
        <w:tc>
          <w:tcPr>
            <w:tcW w:w="190"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0887D3D">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411.67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3AE32F7C">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1,036.00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2CF129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1,530.00 </w:t>
            </w:r>
          </w:p>
        </w:tc>
        <w:tc>
          <w:tcPr>
            <w:tcW w:w="190"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5FA2AB49">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300.17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5B052031">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1,500.83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4584BE4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615F909">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9BD964C">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203E48F">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FD02E5F">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34FE0E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CFCB36C">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9C5335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6F25B0D">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A336CF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57FF776">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384CB6E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22,130.17 </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3DF75DC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11,721.84 </w:t>
            </w:r>
          </w:p>
        </w:tc>
        <w:tc>
          <w:tcPr>
            <w:tcW w:w="243" w:type="pct"/>
            <w:tcBorders>
              <w:top w:val="single" w:color="4F81BD" w:sz="8" w:space="0"/>
              <w:left w:val="dotted" w:color="auto" w:sz="4" w:space="0"/>
              <w:bottom w:val="single" w:color="4F81BD" w:sz="8" w:space="0"/>
              <w:right w:val="single" w:color="4F81BD" w:sz="8" w:space="0"/>
            </w:tcBorders>
            <w:shd w:val="clear" w:color="auto" w:fill="FFFFFF"/>
            <w:noWrap/>
            <w:vAlign w:val="center"/>
          </w:tcPr>
          <w:p w14:paraId="72F0C567">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6,371.84 </w:t>
            </w:r>
          </w:p>
        </w:tc>
      </w:tr>
      <w:tr w14:paraId="2BC06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8"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4DF41EE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14</w:t>
            </w:r>
          </w:p>
        </w:tc>
        <w:tc>
          <w:tcPr>
            <w:tcW w:w="491"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062F8D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运营期现金净流量</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C09004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88,546.42 </w:t>
            </w:r>
          </w:p>
        </w:tc>
        <w:tc>
          <w:tcPr>
            <w:tcW w:w="190"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EC4919E">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67A60E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E33C0F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90"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406905B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1C76C1B">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5,032.02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C6780A2">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5,748.02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A2E4285">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5,895.11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3E333865">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6,036.78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0F635B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6,178.07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5D4C5B5">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6,168.74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4C32587F">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6,223.13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99834E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6,212.95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04ACFC6C">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6,202.31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349EE9DE">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6,191.18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E4FE19C">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6,028.07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0565E115">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5,804.76 </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6BAC553">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5,719.14 </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5B92AA39">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5,603.77 </w:t>
            </w:r>
          </w:p>
        </w:tc>
        <w:tc>
          <w:tcPr>
            <w:tcW w:w="243" w:type="pct"/>
            <w:tcBorders>
              <w:top w:val="single" w:color="4F81BD" w:sz="8" w:space="0"/>
              <w:left w:val="dotted" w:color="auto" w:sz="4" w:space="0"/>
              <w:bottom w:val="single" w:color="4F81BD" w:sz="8" w:space="0"/>
              <w:right w:val="single" w:color="4F81BD" w:sz="8" w:space="0"/>
            </w:tcBorders>
            <w:shd w:val="clear" w:color="auto" w:fill="FFFFFF"/>
            <w:noWrap/>
            <w:vAlign w:val="center"/>
          </w:tcPr>
          <w:p w14:paraId="4235063B">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5,502.37 </w:t>
            </w:r>
          </w:p>
        </w:tc>
      </w:tr>
      <w:tr w14:paraId="61F9C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08" w:type="pct"/>
            <w:tcBorders>
              <w:top w:val="single" w:color="4F81BD" w:sz="8" w:space="0"/>
              <w:left w:val="single" w:color="4F81BD" w:sz="8" w:space="0"/>
              <w:bottom w:val="single" w:color="4F81BD" w:sz="8" w:space="0"/>
              <w:right w:val="dotted" w:color="auto" w:sz="4" w:space="0"/>
            </w:tcBorders>
            <w:shd w:val="clear" w:color="auto" w:fill="FFFFFF"/>
            <w:noWrap/>
            <w:vAlign w:val="center"/>
          </w:tcPr>
          <w:p w14:paraId="597C6BF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w:t>
            </w:r>
          </w:p>
        </w:tc>
        <w:tc>
          <w:tcPr>
            <w:tcW w:w="491"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CA044DB">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本息覆盖倍数（1</w:t>
            </w:r>
            <w:r>
              <w:rPr>
                <w:rFonts w:hint="default" w:ascii="Arial Narrow" w:hAnsi="Arial Narrow" w:eastAsia="Arial Narrow" w:cs="Arial Narrow"/>
                <w:i w:val="0"/>
                <w:iCs w:val="0"/>
                <w:color w:val="000000"/>
                <w:kern w:val="0"/>
                <w:sz w:val="16"/>
                <w:szCs w:val="16"/>
                <w:u w:val="none"/>
                <w:lang w:val="en-US" w:eastAsia="zh-CN" w:bidi="ar"/>
              </w:rPr>
              <w:t>4÷13</w:t>
            </w:r>
            <w:r>
              <w:rPr>
                <w:rFonts w:hint="default" w:ascii="华文仿宋" w:hAnsi="华文仿宋" w:eastAsia="华文仿宋" w:cs="华文仿宋"/>
                <w:i w:val="0"/>
                <w:iCs w:val="0"/>
                <w:color w:val="000000"/>
                <w:kern w:val="0"/>
                <w:sz w:val="16"/>
                <w:szCs w:val="16"/>
                <w:u w:val="none"/>
                <w:lang w:val="en-US" w:eastAsia="zh-CN" w:bidi="ar"/>
              </w:rPr>
              <w:t>）</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479184CF">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b/>
                <w:bCs/>
                <w:i w:val="0"/>
                <w:iCs w:val="0"/>
                <w:color w:val="000000"/>
                <w:sz w:val="16"/>
                <w:szCs w:val="16"/>
                <w:u w:val="none"/>
              </w:rPr>
            </w:pPr>
            <w:r>
              <w:rPr>
                <w:rFonts w:hint="default" w:ascii="Arial Narrow" w:hAnsi="Arial Narrow" w:eastAsia="Arial Narrow" w:cs="Arial Narrow"/>
                <w:b/>
                <w:bCs/>
                <w:i w:val="0"/>
                <w:iCs w:val="0"/>
                <w:color w:val="000000"/>
                <w:kern w:val="0"/>
                <w:sz w:val="16"/>
                <w:szCs w:val="16"/>
                <w:u w:val="none"/>
                <w:lang w:val="en-US" w:eastAsia="zh-CN" w:bidi="ar"/>
              </w:rPr>
              <w:t xml:space="preserve"> 1.24 </w:t>
            </w:r>
          </w:p>
        </w:tc>
        <w:tc>
          <w:tcPr>
            <w:tcW w:w="190"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50908CEA">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36071434">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14C82220">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90"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5BA03601">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722A9D0">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6A38C65">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52B897BD">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E76057F">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3CA83272">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BE688AE">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093A2F7">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47F7B4B7">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2F3ECA0B">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44757156">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0DEB18BE">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8"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0689938">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6E890E36">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37" w:type="pct"/>
            <w:tcBorders>
              <w:top w:val="single" w:color="4F81BD" w:sz="8" w:space="0"/>
              <w:left w:val="dotted" w:color="auto" w:sz="4" w:space="0"/>
              <w:bottom w:val="single" w:color="4F81BD" w:sz="8" w:space="0"/>
              <w:right w:val="dotted" w:color="auto" w:sz="4" w:space="0"/>
            </w:tcBorders>
            <w:shd w:val="clear" w:color="auto" w:fill="FFFFFF"/>
            <w:noWrap/>
            <w:vAlign w:val="center"/>
          </w:tcPr>
          <w:p w14:paraId="7EDFDE66">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3" w:type="pct"/>
            <w:tcBorders>
              <w:top w:val="single" w:color="4F81BD" w:sz="8" w:space="0"/>
              <w:left w:val="dotted" w:color="auto" w:sz="4" w:space="0"/>
              <w:bottom w:val="single" w:color="4F81BD" w:sz="8" w:space="0"/>
              <w:right w:val="single" w:color="4F81BD" w:sz="8" w:space="0"/>
            </w:tcBorders>
            <w:shd w:val="clear" w:color="auto" w:fill="FFFFFF"/>
            <w:noWrap/>
            <w:vAlign w:val="center"/>
          </w:tcPr>
          <w:p w14:paraId="1F603BE6">
            <w:pPr>
              <w:keepNext w:val="0"/>
              <w:keepLines w:val="0"/>
              <w:pageBreakBefore w:val="0"/>
              <w:widowControl/>
              <w:suppressLineNumbers w:val="0"/>
              <w:kinsoku/>
              <w:wordWrap/>
              <w:overflowPunct/>
              <w:topLinePunct w:val="0"/>
              <w:autoSpaceDE w:val="0"/>
              <w:autoSpaceDN w:val="0"/>
              <w:bidi w:val="0"/>
              <w:adjustRightInd/>
              <w:snapToGrid/>
              <w:spacing w:line="240" w:lineRule="auto"/>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bl>
    <w:p w14:paraId="5F569D6D">
      <w:pPr>
        <w:pStyle w:val="3"/>
        <w:rPr>
          <w:rFonts w:hint="eastAsia"/>
        </w:rPr>
      </w:pPr>
    </w:p>
    <w:tbl>
      <w:tblPr>
        <w:tblStyle w:val="1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2"/>
        <w:gridCol w:w="776"/>
        <w:gridCol w:w="654"/>
        <w:gridCol w:w="635"/>
        <w:gridCol w:w="635"/>
        <w:gridCol w:w="636"/>
        <w:gridCol w:w="587"/>
        <w:gridCol w:w="587"/>
        <w:gridCol w:w="587"/>
        <w:gridCol w:w="607"/>
        <w:gridCol w:w="607"/>
        <w:gridCol w:w="607"/>
        <w:gridCol w:w="607"/>
        <w:gridCol w:w="607"/>
        <w:gridCol w:w="607"/>
        <w:gridCol w:w="607"/>
        <w:gridCol w:w="607"/>
        <w:gridCol w:w="607"/>
        <w:gridCol w:w="607"/>
        <w:gridCol w:w="636"/>
        <w:gridCol w:w="636"/>
        <w:gridCol w:w="607"/>
      </w:tblGrid>
      <w:tr w14:paraId="78DEA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000" w:type="pct"/>
            <w:gridSpan w:val="22"/>
            <w:tcBorders>
              <w:top w:val="single" w:color="4F81BD" w:sz="8" w:space="0"/>
              <w:left w:val="single" w:color="4F81BD" w:sz="8" w:space="0"/>
              <w:bottom w:val="single" w:color="4F81BD" w:sz="8" w:space="0"/>
              <w:right w:val="dotted" w:color="auto" w:sz="0" w:space="0"/>
            </w:tcBorders>
            <w:shd w:val="clear" w:color="auto" w:fill="4F81BD"/>
            <w:noWrap/>
            <w:vAlign w:val="center"/>
          </w:tcPr>
          <w:p w14:paraId="38E254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华文仿宋" w:hAnsi="华文仿宋" w:eastAsia="华文仿宋" w:cs="华文仿宋"/>
                <w:b/>
                <w:bCs/>
                <w:i w:val="0"/>
                <w:iCs w:val="0"/>
                <w:color w:val="FFFFFF"/>
                <w:sz w:val="20"/>
                <w:szCs w:val="20"/>
                <w:u w:val="none"/>
              </w:rPr>
            </w:pPr>
            <w:r>
              <w:rPr>
                <w:rFonts w:hint="default" w:ascii="华文仿宋" w:hAnsi="华文仿宋" w:eastAsia="华文仿宋" w:cs="华文仿宋"/>
                <w:b/>
                <w:bCs/>
                <w:i w:val="0"/>
                <w:iCs w:val="0"/>
                <w:color w:val="FFFFFF"/>
                <w:kern w:val="0"/>
                <w:sz w:val="20"/>
                <w:szCs w:val="20"/>
                <w:u w:val="none"/>
                <w:lang w:val="en-US" w:eastAsia="zh-CN" w:bidi="ar"/>
              </w:rPr>
              <w:t>组合融资资金测算平衡情况表</w:t>
            </w:r>
          </w:p>
        </w:tc>
      </w:tr>
      <w:tr w14:paraId="568CF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000" w:type="pct"/>
            <w:gridSpan w:val="22"/>
            <w:tcBorders>
              <w:top w:val="single" w:color="4F81BD" w:sz="8" w:space="0"/>
              <w:left w:val="single" w:color="4F81BD" w:sz="8" w:space="0"/>
              <w:bottom w:val="single" w:color="4F81BD" w:sz="8" w:space="0"/>
              <w:right w:val="dotted" w:color="auto" w:sz="0" w:space="0"/>
            </w:tcBorders>
            <w:shd w:val="clear" w:color="auto" w:fill="FFFFFF"/>
            <w:noWrap/>
            <w:vAlign w:val="center"/>
          </w:tcPr>
          <w:p w14:paraId="257B43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金额单位：人民币万元 </w:t>
            </w:r>
          </w:p>
        </w:tc>
      </w:tr>
      <w:tr w14:paraId="1EF10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47911D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行次</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14FC31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项目</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4226D4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 xml:space="preserve"> 合计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046BFC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2022年</w:t>
            </w:r>
            <w:r>
              <w:rPr>
                <w:rFonts w:hint="default" w:ascii="Arial Narrow" w:hAnsi="Arial Narrow" w:eastAsia="Arial Narrow" w:cs="Arial Narrow"/>
                <w:i w:val="0"/>
                <w:iCs w:val="0"/>
                <w:color w:val="000000"/>
                <w:kern w:val="0"/>
                <w:sz w:val="16"/>
                <w:szCs w:val="16"/>
                <w:u w:val="none"/>
                <w:lang w:val="en-US" w:eastAsia="zh-CN" w:bidi="ar"/>
              </w:rPr>
              <w:br w:type="textWrapping"/>
            </w:r>
            <w:r>
              <w:rPr>
                <w:rFonts w:hint="default" w:ascii="Arial Narrow" w:hAnsi="Arial Narrow" w:eastAsia="Arial Narrow" w:cs="Arial Narrow"/>
                <w:i w:val="0"/>
                <w:iCs w:val="0"/>
                <w:color w:val="000000"/>
                <w:kern w:val="0"/>
                <w:sz w:val="16"/>
                <w:szCs w:val="16"/>
                <w:u w:val="none"/>
                <w:lang w:val="en-US" w:eastAsia="zh-CN" w:bidi="ar"/>
              </w:rPr>
              <w:t xml:space="preserve">3月-12月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2FBB0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2023年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09132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2024年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1A7D35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2025年</w:t>
            </w:r>
            <w:r>
              <w:rPr>
                <w:rFonts w:hint="default" w:ascii="Arial Narrow" w:hAnsi="Arial Narrow" w:eastAsia="Arial Narrow" w:cs="Arial Narrow"/>
                <w:i w:val="0"/>
                <w:iCs w:val="0"/>
                <w:color w:val="000000"/>
                <w:kern w:val="0"/>
                <w:sz w:val="16"/>
                <w:szCs w:val="16"/>
                <w:u w:val="none"/>
                <w:lang w:val="en-US" w:eastAsia="zh-CN" w:bidi="ar"/>
              </w:rPr>
              <w:br w:type="textWrapping"/>
            </w:r>
            <w:r>
              <w:rPr>
                <w:rFonts w:hint="default" w:ascii="Arial Narrow" w:hAnsi="Arial Narrow" w:eastAsia="Arial Narrow" w:cs="Arial Narrow"/>
                <w:i w:val="0"/>
                <w:iCs w:val="0"/>
                <w:color w:val="000000"/>
                <w:kern w:val="0"/>
                <w:sz w:val="16"/>
                <w:szCs w:val="16"/>
                <w:u w:val="none"/>
                <w:lang w:val="en-US" w:eastAsia="zh-CN" w:bidi="ar"/>
              </w:rPr>
              <w:t>1月-2月</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44FA1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2025年</w:t>
            </w:r>
            <w:r>
              <w:rPr>
                <w:rFonts w:hint="default" w:ascii="Arial Narrow" w:hAnsi="Arial Narrow" w:eastAsia="Arial Narrow" w:cs="Arial Narrow"/>
                <w:i w:val="0"/>
                <w:iCs w:val="0"/>
                <w:color w:val="000000"/>
                <w:kern w:val="0"/>
                <w:sz w:val="16"/>
                <w:szCs w:val="16"/>
                <w:u w:val="none"/>
                <w:lang w:val="en-US" w:eastAsia="zh-CN" w:bidi="ar"/>
              </w:rPr>
              <w:br w:type="textWrapping"/>
            </w:r>
            <w:r>
              <w:rPr>
                <w:rFonts w:hint="default" w:ascii="Arial Narrow" w:hAnsi="Arial Narrow" w:eastAsia="Arial Narrow" w:cs="Arial Narrow"/>
                <w:i w:val="0"/>
                <w:iCs w:val="0"/>
                <w:color w:val="000000"/>
                <w:kern w:val="0"/>
                <w:sz w:val="16"/>
                <w:szCs w:val="16"/>
                <w:u w:val="none"/>
                <w:lang w:val="en-US" w:eastAsia="zh-CN" w:bidi="ar"/>
              </w:rPr>
              <w:t xml:space="preserve">3月-12月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04B87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2026年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B3B8E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2027年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E5E1A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2028年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82613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2029年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A303C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2030年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C77C1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2031年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6589B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2032年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1ECC0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2033年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33088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2034年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80F6C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2035年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F6FE6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2036年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F81FE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2037年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64F76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2038年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2555EE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2039年 </w:t>
            </w:r>
          </w:p>
        </w:tc>
      </w:tr>
      <w:tr w14:paraId="31DDB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7E2353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4764E2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经营活动产生的现金净流量</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38A2D8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88,546.42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B4B80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370DE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85CAE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6170E9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E8118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5,032.02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205E2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5,748.02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85DAE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5,895.11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04C9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6,036.78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5D865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6,178.07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B93DD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6,168.74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C3896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6,223.13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919CB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6,212.95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DDEC1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6,202.31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C5C56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6,191.18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3B816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6,028.07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58FF4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5,804.76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2E323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5,719.14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CFBBD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5,603.77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3889EE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5,502.37 </w:t>
            </w:r>
          </w:p>
        </w:tc>
      </w:tr>
      <w:tr w14:paraId="70A1B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729462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63739B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w:t>
            </w:r>
            <w:r>
              <w:rPr>
                <w:rFonts w:ascii="微软雅黑" w:hAnsi="微软雅黑" w:eastAsia="微软雅黑" w:cs="微软雅黑"/>
                <w:i w:val="0"/>
                <w:iCs w:val="0"/>
                <w:color w:val="000000"/>
                <w:kern w:val="0"/>
                <w:sz w:val="12"/>
                <w:szCs w:val="12"/>
                <w:u w:val="none"/>
                <w:lang w:val="en-US" w:eastAsia="zh-CN" w:bidi="ar"/>
              </w:rPr>
              <w:t>用于偿还专项债券的现金净流量</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331550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65,967.08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452CA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54098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BBAE5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161899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3C10C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3,748.86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F2454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4,282.27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E7FED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4,391.86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BCEF5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4,497.40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CFF05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4,602.66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034C0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4,595.71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44B64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4,636.23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B6D7D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4,628.65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82F61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4,620.72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11AE7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4,612.43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112CF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4,490.91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7D079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4,324.55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4DBB6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4,260.76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F8D27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4,174.81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1725EB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4,099.27 </w:t>
            </w:r>
          </w:p>
        </w:tc>
      </w:tr>
      <w:tr w14:paraId="331BE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03B4A6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7D20A3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12"/>
                <w:szCs w:val="12"/>
                <w:u w:val="none"/>
              </w:rPr>
            </w:pPr>
            <w:r>
              <w:rPr>
                <w:rFonts w:hint="eastAsia" w:ascii="微软雅黑" w:hAnsi="微软雅黑" w:eastAsia="微软雅黑" w:cs="微软雅黑"/>
                <w:i w:val="0"/>
                <w:iCs w:val="0"/>
                <w:color w:val="000000"/>
                <w:kern w:val="0"/>
                <w:sz w:val="12"/>
                <w:szCs w:val="12"/>
                <w:u w:val="none"/>
                <w:lang w:val="en-US" w:eastAsia="zh-CN" w:bidi="ar"/>
              </w:rPr>
              <w:t xml:space="preserve">     用于偿还专项债券的现金净流量占比</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7EE815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C03F8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D87C1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090DA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3F6B24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1EE3A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C3331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34005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56DBE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CC0AA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43EE3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B085B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89303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0850F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D2EE8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191F4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D54A4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CB975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7FD3C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3967AE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74.50%</w:t>
            </w:r>
          </w:p>
        </w:tc>
      </w:tr>
      <w:tr w14:paraId="2C6BE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301EF5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4323CA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12"/>
                <w:szCs w:val="12"/>
                <w:u w:val="none"/>
              </w:rPr>
            </w:pPr>
            <w:r>
              <w:rPr>
                <w:rFonts w:hint="eastAsia" w:ascii="微软雅黑" w:hAnsi="微软雅黑" w:eastAsia="微软雅黑" w:cs="微软雅黑"/>
                <w:i w:val="0"/>
                <w:iCs w:val="0"/>
                <w:color w:val="000000"/>
                <w:kern w:val="0"/>
                <w:sz w:val="12"/>
                <w:szCs w:val="12"/>
                <w:u w:val="none"/>
                <w:lang w:val="en-US" w:eastAsia="zh-CN" w:bidi="ar"/>
              </w:rPr>
              <w:t xml:space="preserve">     用于偿还市场化融资的现金净流量</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78BDA6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22,579.34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8C736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74F47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86516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256871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13B64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1,283.17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14883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1,465.74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CDE66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1,503.25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832BD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1,539.38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769A6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1,575.41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96704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1,573.03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60E97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1,586.90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AAB33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1,584.30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70D1A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1,581.59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313A6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1,578.75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41ABE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1,537.16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CFC03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1,480.21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CD5FF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1,458.38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33B5F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1,428.96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7CC5F4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1,403.10 </w:t>
            </w:r>
          </w:p>
        </w:tc>
      </w:tr>
      <w:tr w14:paraId="025AF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28C0DD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5</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3C2C0F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12"/>
                <w:szCs w:val="12"/>
                <w:u w:val="none"/>
              </w:rPr>
            </w:pPr>
            <w:r>
              <w:rPr>
                <w:rFonts w:hint="eastAsia" w:ascii="微软雅黑" w:hAnsi="微软雅黑" w:eastAsia="微软雅黑" w:cs="微软雅黑"/>
                <w:i w:val="0"/>
                <w:iCs w:val="0"/>
                <w:color w:val="000000"/>
                <w:kern w:val="0"/>
                <w:sz w:val="12"/>
                <w:szCs w:val="12"/>
                <w:u w:val="none"/>
                <w:lang w:val="en-US" w:eastAsia="zh-CN" w:bidi="ar"/>
              </w:rPr>
              <w:t xml:space="preserve">     用于偿还市场化融资的现金净流量占比</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2EB72F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03C20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56DCB8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E658A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0ECB0B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70590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2AC80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9F424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04E0A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E767E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E6303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0C852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C4ADA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CA8D8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E66FC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911E1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2EEBB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3D02A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51E6C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3E0F04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25.50%</w:t>
            </w:r>
          </w:p>
        </w:tc>
      </w:tr>
      <w:tr w14:paraId="4AD0E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2A651A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6</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66688F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一、经营活动产生的现金流入</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2C5DB0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103,906.98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0DCBED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25665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D51B7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0B5B03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C5CD9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5,665.00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11695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6,428.80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5764B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6,636.85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CBADC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6,844.90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572F8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7,052.95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DB520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7,052.95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03E21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7,136.17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BB89F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7,136.17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6A0FB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7,136.17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D23F8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7,136.17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66E85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7,136.17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BBB21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7,136.17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761F5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7,136.17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92BFC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7,136.17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4FA60E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7,136.17 </w:t>
            </w:r>
          </w:p>
        </w:tc>
      </w:tr>
      <w:tr w14:paraId="15331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6342DD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53D004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（一）经营收入</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27710E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99,166.95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749B5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76A71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B0E93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36B568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5AFAE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5,453.21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A6617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6,153.94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07750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6,344.82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91921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6,535.69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1B4B6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6,726.56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DD15C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6,726.56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D5269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6,802.91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BD77B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6,802.91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5A267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6,802.91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BC825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6,802.91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AF1A8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6,802.91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C2506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6,802.91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EEC1B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6,802.91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C25DA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6,802.91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3F9308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6,802.91 </w:t>
            </w:r>
          </w:p>
        </w:tc>
      </w:tr>
      <w:tr w14:paraId="0DB60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3B0EC9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7072AB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1、居民用水收入（万元）</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5058A2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33,263.34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75CDB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4733A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63E04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5B831C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9BCCA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1,486.24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B0FA3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1,928.81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F50DF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2,049.36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74124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2,169.91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3865F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2,290.46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76517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2,290.46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5F7E6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2,338.68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E950D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2,338.68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31EBC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2,338.68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AF7A7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2,338.68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2C531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2,338.68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85B7C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2,338.68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28B5C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2,338.68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CFE71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2,338.68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137400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2,338.68 </w:t>
            </w:r>
          </w:p>
        </w:tc>
      </w:tr>
      <w:tr w14:paraId="3567B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639BDD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9</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58571D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2、企业用水收入（万元）</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04C227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19,403.61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681BF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BA5FB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53900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4AB230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A6E8A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866.97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23981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1,125.14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F0AB3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1,195.46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1D10F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1,265.78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17679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1,336.10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908E6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1,336.10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B3ACA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1,364.23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DB0F8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1,364.23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B157C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1,364.23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9FA68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1,364.23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265AC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1,364.23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A612C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1,364.23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AB834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1,364.23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36D84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1,364.23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499BCC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1,364.23 </w:t>
            </w:r>
          </w:p>
        </w:tc>
      </w:tr>
      <w:tr w14:paraId="20B02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00DC92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6F7CD2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3、政府补贴</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3C8B32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46,500.00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14AC2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E2286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4D3D9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620A0F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15022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3647E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44EE7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69341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37BE0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7B891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E2A39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3B7E0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2B9FE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FD847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96FED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99E2A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C0562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31129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6FD12C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3,100.00 </w:t>
            </w:r>
          </w:p>
        </w:tc>
      </w:tr>
      <w:tr w14:paraId="24BD9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5791E8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18</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7014D3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华文仿宋" w:hAnsi="华文仿宋" w:eastAsia="华文仿宋" w:cs="华文仿宋"/>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（二）收到的税费</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09F05D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4,740.03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56BE9F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5E64E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AF678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5E500A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518E4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211.79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BB24B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274.86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C4361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292.03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00642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309.21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D1C3A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326.39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0CC72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326.39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6594A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67F17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6E36B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D64B0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85E65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E0EDE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719F0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2E80A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5437CF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r>
      <w:tr w14:paraId="15480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3C6110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19</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713B0A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r>
              <w:rPr>
                <w:rFonts w:hint="default" w:ascii="华文仿宋" w:hAnsi="华文仿宋" w:eastAsia="华文仿宋" w:cs="华文仿宋"/>
                <w:i w:val="0"/>
                <w:iCs w:val="0"/>
                <w:color w:val="000000"/>
                <w:kern w:val="0"/>
                <w:sz w:val="16"/>
                <w:szCs w:val="16"/>
                <w:u w:val="none"/>
                <w:lang w:val="en-US" w:eastAsia="zh-CN" w:bidi="ar"/>
              </w:rPr>
              <w:t>、增值税</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2C6790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4,740.03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56DF1F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21BA0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7CEBD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204930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6A02B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211.79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66FCA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274.86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10AD3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292.03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75F6D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309.21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C7831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326.39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0CCEF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326.39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B0F02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8E0E4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DBC6C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E48C3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8FAAC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8715A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05709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142E5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592AF4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r>
      <w:tr w14:paraId="6C8B1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6CD781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1A66A7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二、经营活动产生的现金流出</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26A066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15,360.56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C2E96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5102D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393E2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1893C2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D6821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632.98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CE1F3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680.78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AC630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741.74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10359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808.12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660E3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874.88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1314E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884.21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0BDB8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913.04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855C9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923.22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FDCA8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933.86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975C1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944.99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05DF1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1,108.10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8BC63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1,331.41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6E361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1,417.03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C99D7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1,532.40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6DBCAE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1,633.80 </w:t>
            </w:r>
          </w:p>
        </w:tc>
      </w:tr>
      <w:tr w14:paraId="5EB0D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717BE8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21</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7B4C42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（一）经营成本</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350B6C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7,325.64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08B620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FAED6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013AEE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1B3478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3C62E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370.52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A9C37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466.00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9441B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472.72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FE190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485.20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174BD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497.69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F3884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498.69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F4E37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499.70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94BA7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500.72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82730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501.75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CEFCD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502.79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51668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503.84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C8B93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504.90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D2A10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505.97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5CC7A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507.05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2DBC84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508.14 </w:t>
            </w:r>
          </w:p>
        </w:tc>
      </w:tr>
      <w:tr w14:paraId="5E5DF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379869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22</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3F00F2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1、经营成本</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1328EF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5,796.34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42CC6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95B17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9AFE5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39B6C6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C1725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290.52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56476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369.04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71612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374.79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6EBDE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386.29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24633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611B7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E8417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A256D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441A4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12755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EFEA8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43649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9D8EC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E4A69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72B52D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397.79 </w:t>
            </w:r>
          </w:p>
        </w:tc>
      </w:tr>
      <w:tr w14:paraId="54BAF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40F381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23</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1A87DC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2、人工</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2F8473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1,529.30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DFE01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5628C9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77769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6DBC3F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2DC24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EA70E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96.96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559DD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97.93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3D3D7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98.91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7E30C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99.90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61926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100.90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3017E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101.91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0D711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102.92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88232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103.95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4B34E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104.99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821D7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106.04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2FD83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107.10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48125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108.18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A642B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109.26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2A426F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110.35 </w:t>
            </w:r>
          </w:p>
        </w:tc>
      </w:tr>
      <w:tr w14:paraId="02022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2CB252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24</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7468B8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598007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62B0D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0D16CB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CE792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1F24F8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A931A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E7C22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D1844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B1683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AEF47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1CE58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3B165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7C5B9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15D5C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A395A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59B06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B1798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9FA67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703D9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308514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058EE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7CF75B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32</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20CB6D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（二）支付的各项税费</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0D088A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8,034.92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0C2A8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35A7D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006CE7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64B9EA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9207F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262.46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895E8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214.79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AEDA2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269.02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514EC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322.92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83332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377.19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9A0C6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385.52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918AD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413.34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F4828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422.50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BF901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432.12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922C0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442.20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DA128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604.27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FEDC0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826.51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3A63E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911.07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DD7CE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1,025.36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56A26E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1,125.66 </w:t>
            </w:r>
          </w:p>
        </w:tc>
      </w:tr>
      <w:tr w14:paraId="787AF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7B212D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33</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74D81E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r>
              <w:rPr>
                <w:rFonts w:hint="default" w:ascii="华文仿宋" w:hAnsi="华文仿宋" w:eastAsia="华文仿宋" w:cs="华文仿宋"/>
                <w:i w:val="0"/>
                <w:iCs w:val="0"/>
                <w:color w:val="000000"/>
                <w:kern w:val="0"/>
                <w:sz w:val="16"/>
                <w:szCs w:val="16"/>
                <w:u w:val="none"/>
                <w:lang w:val="en-US" w:eastAsia="zh-CN" w:bidi="ar"/>
              </w:rPr>
              <w:t>、增值税</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6DA56D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1,976.08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4446A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59F08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E0843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165445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0771D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37.77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0DD29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47.97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6AA11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48.72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BE9A6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50.22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FB1EF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51.71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99E25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51.71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A81EA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51.71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9CE9C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51.71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7B7F6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51.71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B207C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51.71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0E4F7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148.07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63D4C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12521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3C0B5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399744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333.26 </w:t>
            </w:r>
          </w:p>
        </w:tc>
      </w:tr>
      <w:tr w14:paraId="27272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52C273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34</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33595A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w:t>
            </w:r>
            <w:r>
              <w:rPr>
                <w:rFonts w:hint="default" w:ascii="华文仿宋" w:hAnsi="华文仿宋" w:eastAsia="华文仿宋" w:cs="华文仿宋"/>
                <w:i w:val="0"/>
                <w:iCs w:val="0"/>
                <w:color w:val="000000"/>
                <w:kern w:val="0"/>
                <w:sz w:val="16"/>
                <w:szCs w:val="16"/>
                <w:u w:val="none"/>
                <w:lang w:val="en-US" w:eastAsia="zh-CN" w:bidi="ar"/>
              </w:rPr>
              <w:t>、税金及附加</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23E830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146.71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44DF9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D6938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00080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733427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4B233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48046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1CC58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10B82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9692A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FBB9D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087CF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2C416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D1EFD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CA93B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2A774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11.56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5199D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F0193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DDECD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33.79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68FA78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33.79 </w:t>
            </w:r>
          </w:p>
        </w:tc>
      </w:tr>
      <w:tr w14:paraId="6DF17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17B941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35</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44FC8F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w:t>
            </w:r>
            <w:r>
              <w:rPr>
                <w:rFonts w:hint="default" w:ascii="华文仿宋" w:hAnsi="华文仿宋" w:eastAsia="华文仿宋" w:cs="华文仿宋"/>
                <w:i w:val="0"/>
                <w:iCs w:val="0"/>
                <w:color w:val="000000"/>
                <w:kern w:val="0"/>
                <w:sz w:val="16"/>
                <w:szCs w:val="16"/>
                <w:u w:val="none"/>
                <w:lang w:val="en-US" w:eastAsia="zh-CN" w:bidi="ar"/>
              </w:rPr>
              <w:t>、企业所得税</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3A00B2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5,912.13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FDA4B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13B4D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3EDC0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276CFB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EA0D0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224.69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F3EEF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166.81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045BF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220.30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4F9E7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272.70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F2E3C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325.48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9253E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333.81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28926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361.63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F80E3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370.79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7E844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380.40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DB612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390.49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AF757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444.63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783DC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459.46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9CEA5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544.02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679EE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658.31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752F96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758.61 </w:t>
            </w:r>
          </w:p>
        </w:tc>
      </w:tr>
      <w:tr w14:paraId="7DFC4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0BB6A8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36</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72BA50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投资活动产生的现金净流量</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2F7D31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-64,887.17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F06A9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-18,674.33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9CDDF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-19,414.00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678F3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-18,920.00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2F40E4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-7,878.83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45BEF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93680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CA69D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FCF2F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62189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26703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A4D2C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A18D3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DBBDA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A1730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DB7A0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69433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3125A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03920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42EDE2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r>
      <w:tr w14:paraId="52956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35AE7E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37</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0EAFB2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一、投资活动产生的现金流入</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1D20FA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B7FD3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B1DC9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E57FE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5CFB63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B732A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8264C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01F48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37F53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CA9B3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6317F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F577B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516F3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05FE4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32BD4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809F3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1973F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11E9E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FF88C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6D4B88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r>
      <w:tr w14:paraId="4B5F8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785FB8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38</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0B9BB5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二、投资活动产生的现金流出</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7D4761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64,887.17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B771A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18,674.33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53A240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19,414.00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3AF6A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18,920.00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0EAFE2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7,878.83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BC5B6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7E1D2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FAA46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160F6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45A65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D4B5B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209DE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753BD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2AED4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666FF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0C087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D9CAC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D56C8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67817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598EC4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r>
      <w:tr w14:paraId="11297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20C8FA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39</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0CFC49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（一）建设投资</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1D2624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64,887.17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DE446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18,674.33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C87D0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19,414.00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AC447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18,920.00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2C88BD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7,878.83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D4130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0EE2D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13BC8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7F18E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B1829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E8CCC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3185E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12E21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475EE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C8BC3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5D34B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F673D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998D0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96F89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5B279D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r>
      <w:tr w14:paraId="3807F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103664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40</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107078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（二）流动资金</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492B3B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69C75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C78A9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48FCF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73D5AA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63130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74682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0E381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8AAE5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B39D1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5480B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E3161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69DE2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B18A8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7B758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F6CC0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1757E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D55B9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429EF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219522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r>
      <w:tr w14:paraId="01193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4D34A1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41</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546CC9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融资活动产生的现金净流量</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1EE7BD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-3,477.69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F363D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18,674.33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9EC76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19,414.00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2A2F5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18,920.00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5A666D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7,878.83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2C239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-1,500.83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2E041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510D9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9F8A6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CFEC6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58AD6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32846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C4BE0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0D3BA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83FBB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57454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1894F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AE48E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-22,130.17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99B80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-11,721.84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5DFE00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-6,371.84 </w:t>
            </w:r>
          </w:p>
        </w:tc>
      </w:tr>
      <w:tr w14:paraId="40F21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2BDF23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42</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534724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一、融资活动产生的现金流入</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330306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68,200.00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5AEA27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19,096.00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DD0B1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44BCF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2676F3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8,184.00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A0791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F5960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1FD8E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D36D2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ED98A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0952E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EDC39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4D88E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8AAED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12D48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7FA2A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7637B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007E3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791D9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745044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r>
      <w:tr w14:paraId="1C588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03C2AA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43</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374405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（一）项目资本金流入</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01E6E6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21,200.00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FEADD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6,096.00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B632B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6,460.00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506EE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7,460.00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096961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1,184.00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A6937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B2AFA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D3B66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2DDC1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E43CD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18FB4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2BAAD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80D08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B22F3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063F1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6184C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3DA6A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401D3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83B7F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0F8319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r>
      <w:tr w14:paraId="7696F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10EB18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44</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4AED54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（二）发行债券融资流入</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42289C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35,000.00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97282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3325E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5902B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304900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2C815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01986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78F05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B1874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75982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A0DBE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A7C09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9ECFE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2E866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207C1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7C90A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F9F0E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8D4C0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259F0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4C3372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r>
      <w:tr w14:paraId="002B7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14C490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45</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16414A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（三）市场化融资流入</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12F82C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12,000.00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5BAAE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0770D2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4,000.00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45D0B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3,000.00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55DD8A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87933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34B55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D549A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21745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571B4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E5113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AAA9D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A2777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20843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606F8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5631F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CB97B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34CDE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56110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3A77A4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r>
      <w:tr w14:paraId="016DE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708B70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46</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0720F7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二、融资活动产生的现金流出</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601028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71,677.70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1C388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421.67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9291D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1,046.00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E4881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1,540.00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045CAB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305.17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D015C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1,500.83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6C560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72613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1B2C3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39F64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9D9B4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9A74C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7A10A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86B57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E4773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CD56E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EC000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2,421.84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FABE5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22,130.17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C79F7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11,721.84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4E74B9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6,371.84 </w:t>
            </w:r>
          </w:p>
        </w:tc>
      </w:tr>
      <w:tr w14:paraId="14E73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72ECB0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47</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0A69D4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（一）偿还专项债券本金</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6F2ECF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35,000.00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D05D3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C3F77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7DACB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76A411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E0EBC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838A1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8EDC3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E7678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6EA4C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5D044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442CC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71DDC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C39DD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99D30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700EA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75897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0A96E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20,000.00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31E2E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10,000.00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65ABEE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5,000.00 </w:t>
            </w:r>
          </w:p>
        </w:tc>
      </w:tr>
      <w:tr w14:paraId="5E46C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37F75C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bookmarkStart w:id="130" w:name="_GoBack"/>
            <w:r>
              <w:rPr>
                <w:rFonts w:hint="default" w:ascii="Arial Narrow" w:hAnsi="Arial Narrow" w:eastAsia="Arial Narrow" w:cs="Arial Narrow"/>
                <w:i w:val="0"/>
                <w:iCs w:val="0"/>
                <w:color w:val="000000"/>
                <w:kern w:val="0"/>
                <w:sz w:val="16"/>
                <w:szCs w:val="16"/>
                <w:u w:val="none"/>
                <w:lang w:val="en-US" w:eastAsia="zh-CN" w:bidi="ar"/>
              </w:rPr>
              <w:t>48</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260B8E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（二）支付专项债券利息</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42704E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18,375.00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DAA33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291.67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5D560C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0D2FA0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1,050.00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27F22D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204.17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1B6A5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1,020.83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0457B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9DF83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45627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1C29F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BE956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72459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4CAB2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79078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560A7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79635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ED81A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1,225.00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AA97A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933.33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93E69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525.00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68379A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175.00 </w:t>
            </w:r>
          </w:p>
        </w:tc>
      </w:tr>
      <w:bookmarkEnd w:id="130"/>
      <w:tr w14:paraId="574B5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33AB59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49</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5FF1A8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（三）支付专项债券发行费</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16359F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35.00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D8B45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250A4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5138A0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6A9A64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7EB33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166EF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2A5CE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F1E14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DA922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CD390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193A9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E2FED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344FC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32BAF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3D729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61659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E81C7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F2EE1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3883CC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Arial Narrow" w:hAnsi="Arial Narrow" w:eastAsia="Arial Narrow" w:cs="Arial Narrow"/>
                <w:i w:val="0"/>
                <w:iCs w:val="0"/>
                <w:color w:val="000000"/>
                <w:sz w:val="16"/>
                <w:szCs w:val="16"/>
                <w:u w:val="none"/>
              </w:rPr>
            </w:pPr>
          </w:p>
        </w:tc>
      </w:tr>
      <w:tr w14:paraId="4153C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2EC50B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50</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2D491C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（四）偿还市场化融资本金</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577B8B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12,000.00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916B3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3028E7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8BB01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60B3F7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809FB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9B296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620.84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95994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650.64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525DF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681.87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192F8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714.60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837CE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748.90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9B81D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784.84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438CC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822.52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2E5B6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862.00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09FC5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903.37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2861A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946.73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0BA8D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992.18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411BD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1,039.80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03D47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1,089.71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226FB2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1,142.02 </w:t>
            </w:r>
          </w:p>
        </w:tc>
      </w:tr>
      <w:tr w14:paraId="4BDD7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0F45CA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51</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2D6D02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（五）支付市场化融资利息</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6E7240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6,267.70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4F6FCA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120.00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7859CF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336.00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55B63E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480.00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03AE2C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96.00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20F1D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480.00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993D2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576.00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8451D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546.20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C7C60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514.97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411FD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482.24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36274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447.94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3B5D3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411.99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3F39E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374.32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4A0B5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334.84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A5B80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293.46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06A32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250.10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9AB4E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9870E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157.03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72508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107.12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402589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54.82 </w:t>
            </w:r>
          </w:p>
        </w:tc>
      </w:tr>
      <w:tr w14:paraId="11C42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06174F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52</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1DB901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四、期末现金增加（</w:t>
            </w:r>
            <w:r>
              <w:rPr>
                <w:rFonts w:hint="default" w:ascii="Arial Narrow" w:hAnsi="Arial Narrow" w:eastAsia="Arial Narrow" w:cs="Arial Narrow"/>
                <w:i w:val="0"/>
                <w:iCs w:val="0"/>
                <w:color w:val="000000"/>
                <w:kern w:val="0"/>
                <w:sz w:val="16"/>
                <w:szCs w:val="16"/>
                <w:u w:val="none"/>
                <w:lang w:val="en-US" w:eastAsia="zh-CN" w:bidi="ar"/>
              </w:rPr>
              <w:t>1+36+41</w:t>
            </w:r>
            <w:r>
              <w:rPr>
                <w:rFonts w:hint="default" w:ascii="华文仿宋" w:hAnsi="华文仿宋" w:eastAsia="华文仿宋" w:cs="华文仿宋"/>
                <w:i w:val="0"/>
                <w:iCs w:val="0"/>
                <w:color w:val="000000"/>
                <w:kern w:val="0"/>
                <w:sz w:val="16"/>
                <w:szCs w:val="16"/>
                <w:u w:val="none"/>
                <w:lang w:val="en-US" w:eastAsia="zh-CN" w:bidi="ar"/>
              </w:rPr>
              <w:t>）</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4C50F0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20,181.56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5AEA7B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65A4E3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4CC8C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488D7F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27771F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3,531.19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A9A77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3,326.18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33F2E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3,473.28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D88E1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3,614.94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87906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3,756.23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86453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3,746.91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C286E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3,801.30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25710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3,791.11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6A79A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3,780.47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AF735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3,769.35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0201D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3,606.23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A95FC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3,382.93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938F0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-16,411.03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6A69E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-6,118.07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6BFC43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-869.47 </w:t>
            </w:r>
          </w:p>
        </w:tc>
      </w:tr>
      <w:tr w14:paraId="77070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99" w:type="pct"/>
            <w:tcBorders>
              <w:top w:val="single" w:color="4F81BD" w:sz="8" w:space="0"/>
              <w:left w:val="single" w:color="4F81BD" w:sz="8" w:space="0"/>
              <w:bottom w:val="single" w:color="4F81BD" w:sz="8" w:space="0"/>
              <w:right w:val="dotted" w:color="auto" w:sz="4" w:space="0"/>
            </w:tcBorders>
            <w:shd w:val="clear" w:color="auto" w:fill="FFFFFF"/>
            <w:vAlign w:val="center"/>
          </w:tcPr>
          <w:p w14:paraId="654852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53</w:t>
            </w:r>
          </w:p>
        </w:tc>
        <w:tc>
          <w:tcPr>
            <w:tcW w:w="246" w:type="pct"/>
            <w:tcBorders>
              <w:top w:val="single" w:color="4F81BD" w:sz="8" w:space="0"/>
              <w:left w:val="dotted" w:color="auto" w:sz="4" w:space="0"/>
              <w:bottom w:val="single" w:color="4F81BD" w:sz="8" w:space="0"/>
              <w:right w:val="dotted" w:color="auto" w:sz="4" w:space="0"/>
            </w:tcBorders>
            <w:shd w:val="clear" w:color="auto" w:fill="FFFFFF"/>
            <w:vAlign w:val="center"/>
          </w:tcPr>
          <w:p w14:paraId="5BB5AE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华文仿宋" w:hAnsi="华文仿宋" w:eastAsia="华文仿宋" w:cs="华文仿宋"/>
                <w:i w:val="0"/>
                <w:iCs w:val="0"/>
                <w:color w:val="000000"/>
                <w:kern w:val="0"/>
                <w:sz w:val="16"/>
                <w:szCs w:val="16"/>
                <w:u w:val="none"/>
                <w:lang w:val="en-US" w:eastAsia="zh-CN" w:bidi="ar"/>
              </w:rPr>
              <w:t>五、累计盈余资金</w:t>
            </w:r>
          </w:p>
        </w:tc>
        <w:tc>
          <w:tcPr>
            <w:tcW w:w="178" w:type="pct"/>
            <w:tcBorders>
              <w:top w:val="single" w:color="4F81BD" w:sz="8" w:space="0"/>
              <w:left w:val="dotted" w:color="auto" w:sz="4" w:space="0"/>
              <w:bottom w:val="single" w:color="4F81BD" w:sz="8" w:space="0"/>
              <w:right w:val="dotted" w:color="auto" w:sz="4" w:space="0"/>
            </w:tcBorders>
            <w:shd w:val="clear" w:color="auto" w:fill="FFFFFF"/>
            <w:vAlign w:val="center"/>
          </w:tcPr>
          <w:p w14:paraId="4ACCEC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1F1D8B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88E58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75" w:type="pct"/>
            <w:tcBorders>
              <w:top w:val="single" w:color="4F81BD" w:sz="8" w:space="0"/>
              <w:left w:val="dotted" w:color="auto" w:sz="4" w:space="0"/>
              <w:bottom w:val="single" w:color="4F81BD" w:sz="8" w:space="0"/>
              <w:right w:val="dotted" w:color="auto" w:sz="4" w:space="0"/>
            </w:tcBorders>
            <w:shd w:val="clear" w:color="auto" w:fill="FFFFFF"/>
            <w:vAlign w:val="center"/>
          </w:tcPr>
          <w:p w14:paraId="257CFE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19" w:type="pct"/>
            <w:tcBorders>
              <w:top w:val="single" w:color="4F81BD" w:sz="8" w:space="0"/>
              <w:left w:val="dotted" w:color="auto" w:sz="4" w:space="0"/>
              <w:bottom w:val="single" w:color="4F81BD" w:sz="8" w:space="0"/>
              <w:right w:val="dotted" w:color="auto" w:sz="4" w:space="0"/>
            </w:tcBorders>
            <w:shd w:val="clear" w:color="auto" w:fill="FFFFFF"/>
            <w:vAlign w:val="center"/>
          </w:tcPr>
          <w:p w14:paraId="69DD6B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1BEC4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3,531.19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A6577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6,857.37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957AD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10,330.65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7A920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13,945.59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0536B6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17,701.83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E2080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21,448.73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6CE1FB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25,250.03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8D5E3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29,041.14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95B8C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32,821.61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174CFC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36,590.96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710157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40,197.20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3BA26B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43,580.12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4BF8EB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27,169.09 </w:t>
            </w:r>
          </w:p>
        </w:tc>
        <w:tc>
          <w:tcPr>
            <w:tcW w:w="241" w:type="pct"/>
            <w:tcBorders>
              <w:top w:val="single" w:color="4F81BD" w:sz="8" w:space="0"/>
              <w:left w:val="dotted" w:color="auto" w:sz="4" w:space="0"/>
              <w:bottom w:val="single" w:color="4F81BD" w:sz="8" w:space="0"/>
              <w:right w:val="dotted" w:color="auto" w:sz="4" w:space="0"/>
            </w:tcBorders>
            <w:shd w:val="clear" w:color="auto" w:fill="FFFFFF"/>
            <w:vAlign w:val="center"/>
          </w:tcPr>
          <w:p w14:paraId="52A155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21,051.02 </w:t>
            </w:r>
          </w:p>
        </w:tc>
        <w:tc>
          <w:tcPr>
            <w:tcW w:w="241" w:type="pct"/>
            <w:tcBorders>
              <w:top w:val="single" w:color="4F81BD" w:sz="8" w:space="0"/>
              <w:left w:val="dotted" w:color="auto" w:sz="4" w:space="0"/>
              <w:bottom w:val="single" w:color="4F81BD" w:sz="8" w:space="0"/>
              <w:right w:val="single" w:color="4F81BD" w:sz="8" w:space="0"/>
            </w:tcBorders>
            <w:shd w:val="clear" w:color="auto" w:fill="FFFFFF"/>
            <w:vAlign w:val="center"/>
          </w:tcPr>
          <w:p w14:paraId="35D1D5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 20,181.56 </w:t>
            </w:r>
          </w:p>
        </w:tc>
      </w:tr>
    </w:tbl>
    <w:p w14:paraId="39ABE118">
      <w:pPr>
        <w:rPr>
          <w:rFonts w:hint="eastAsia"/>
        </w:rPr>
        <w:sectPr>
          <w:pgSz w:w="16838" w:h="11906" w:orient="landscape"/>
          <w:pgMar w:top="1644" w:right="2098" w:bottom="1418" w:left="1588" w:header="851" w:footer="992" w:gutter="0"/>
          <w:pgNumType w:fmt="numberInDash"/>
          <w:cols w:space="720" w:num="1"/>
          <w:docGrid w:type="lines" w:linePitch="435" w:charSpace="0"/>
        </w:sectPr>
      </w:pPr>
    </w:p>
    <w:p w14:paraId="6961BBB2">
      <w:pPr>
        <w:pStyle w:val="3"/>
        <w:rPr>
          <w:rFonts w:hint="eastAsia"/>
        </w:rPr>
      </w:pPr>
    </w:p>
    <w:p w14:paraId="30648139">
      <w:pPr>
        <w:ind w:left="0" w:leftChars="0" w:firstLine="0" w:firstLineChars="0"/>
        <w:outlineLvl w:val="0"/>
        <w:rPr>
          <w:rFonts w:ascii="黑体" w:eastAsia="黑体"/>
          <w:sz w:val="28"/>
          <w:szCs w:val="28"/>
        </w:rPr>
      </w:pPr>
      <w:r>
        <w:rPr>
          <w:rFonts w:hint="eastAsia" w:ascii="黑体" w:eastAsia="黑体"/>
          <w:sz w:val="28"/>
          <w:szCs w:val="28"/>
        </w:rPr>
        <w:t>五、项目绩效目标</w:t>
      </w:r>
    </w:p>
    <w:p w14:paraId="02DEDBA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时效目标:本次债券</w:t>
      </w:r>
      <w:r>
        <w:rPr>
          <w:rFonts w:hint="eastAsia" w:ascii="仿宋" w:hAnsi="仿宋" w:eastAsia="仿宋"/>
          <w:sz w:val="28"/>
          <w:szCs w:val="28"/>
          <w:lang w:val="zh-CN"/>
        </w:rPr>
        <w:t>发行期限为</w:t>
      </w:r>
      <w:r>
        <w:rPr>
          <w:rFonts w:hint="eastAsia"/>
          <w:sz w:val="28"/>
          <w:szCs w:val="28"/>
          <w:lang w:val="en-US" w:eastAsia="zh-CN"/>
        </w:rPr>
        <w:t>15</w:t>
      </w:r>
      <w:r>
        <w:rPr>
          <w:rFonts w:hint="eastAsia" w:ascii="仿宋" w:hAnsi="仿宋" w:eastAsia="仿宋"/>
          <w:sz w:val="28"/>
          <w:szCs w:val="28"/>
          <w:lang w:val="zh-CN"/>
        </w:rPr>
        <w:t>年</w:t>
      </w:r>
      <w:r>
        <w:rPr>
          <w:rFonts w:hint="eastAsia" w:ascii="仿宋" w:hAnsi="仿宋" w:eastAsia="仿宋"/>
          <w:sz w:val="28"/>
          <w:szCs w:val="28"/>
          <w:lang w:val="zh-CN" w:eastAsia="zh-CN"/>
        </w:rPr>
        <w:t>，</w:t>
      </w:r>
      <w:r>
        <w:rPr>
          <w:rFonts w:hint="eastAsia" w:ascii="仿宋" w:hAnsi="仿宋" w:eastAsia="仿宋"/>
          <w:sz w:val="28"/>
          <w:szCs w:val="28"/>
          <w:lang w:val="en-US" w:eastAsia="zh-CN"/>
        </w:rPr>
        <w:t>债券</w:t>
      </w:r>
      <w:r>
        <w:rPr>
          <w:rFonts w:hint="eastAsia"/>
          <w:sz w:val="28"/>
          <w:szCs w:val="28"/>
          <w:lang w:val="en-US" w:eastAsia="zh-CN"/>
        </w:rPr>
        <w:t>15</w:t>
      </w:r>
      <w:r>
        <w:rPr>
          <w:rFonts w:hint="eastAsia" w:ascii="仿宋" w:hAnsi="仿宋" w:eastAsia="仿宋"/>
          <w:sz w:val="28"/>
          <w:szCs w:val="28"/>
          <w:lang w:val="en-US" w:eastAsia="zh-CN"/>
        </w:rPr>
        <w:t>年内还本付息，</w:t>
      </w:r>
      <w:r>
        <w:rPr>
          <w:rFonts w:hint="eastAsia" w:cs="仿宋"/>
          <w:color w:val="auto"/>
          <w:sz w:val="28"/>
          <w:szCs w:val="28"/>
          <w:lang w:val="en-US" w:eastAsia="zh-CN"/>
        </w:rPr>
        <w:t>业主</w:t>
      </w:r>
      <w:r>
        <w:rPr>
          <w:rFonts w:hint="eastAsia" w:ascii="仿宋" w:hAnsi="仿宋" w:eastAsia="仿宋"/>
          <w:sz w:val="28"/>
          <w:szCs w:val="28"/>
          <w:lang w:val="en-US" w:eastAsia="zh-CN"/>
        </w:rPr>
        <w:t>可根据项目收益及实施情况提前还本付息。</w:t>
      </w:r>
    </w:p>
    <w:p w14:paraId="433B44F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zh-CN" w:eastAsia="zh-CN"/>
        </w:rPr>
      </w:pPr>
      <w:r>
        <w:rPr>
          <w:rFonts w:hint="eastAsia" w:ascii="仿宋" w:hAnsi="仿宋" w:eastAsia="仿宋"/>
          <w:sz w:val="28"/>
          <w:szCs w:val="28"/>
          <w:lang w:val="en-US" w:eastAsia="zh-CN"/>
        </w:rPr>
        <w:t>经济效益目标：</w:t>
      </w:r>
      <w:r>
        <w:rPr>
          <w:rFonts w:hint="eastAsia" w:ascii="仿宋" w:hAnsi="仿宋" w:eastAsia="仿宋"/>
          <w:sz w:val="28"/>
          <w:szCs w:val="28"/>
          <w:lang w:val="zh-CN"/>
        </w:rPr>
        <w:t>创造就业机会，创造地方国民生产总值，增加税收</w:t>
      </w:r>
      <w:r>
        <w:rPr>
          <w:rFonts w:hint="eastAsia" w:ascii="仿宋" w:hAnsi="仿宋" w:eastAsia="仿宋"/>
          <w:sz w:val="28"/>
          <w:szCs w:val="28"/>
          <w:lang w:val="zh-CN" w:eastAsia="zh-CN"/>
        </w:rPr>
        <w:t>。</w:t>
      </w:r>
    </w:p>
    <w:p w14:paraId="6430675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zh-CN" w:eastAsia="zh-CN"/>
        </w:rPr>
      </w:pPr>
      <w:r>
        <w:rPr>
          <w:rFonts w:hint="eastAsia" w:ascii="仿宋" w:hAnsi="仿宋" w:eastAsia="仿宋"/>
          <w:sz w:val="28"/>
          <w:szCs w:val="28"/>
          <w:lang w:val="en-US" w:eastAsia="zh-CN"/>
        </w:rPr>
        <w:t>社会效益目标：工程建设期间期间，将增加大量的就业机会，带动当地及周边群众走上脱贫致富之路，提升人民生活质量。</w:t>
      </w:r>
    </w:p>
    <w:p w14:paraId="59582A9B">
      <w:pPr>
        <w:ind w:firstLine="640"/>
        <w:rPr>
          <w:sz w:val="28"/>
          <w:szCs w:val="28"/>
        </w:rPr>
      </w:pPr>
      <w:r>
        <w:rPr>
          <w:rFonts w:hint="eastAsia" w:ascii="仿宋" w:hAnsi="仿宋" w:eastAsia="仿宋"/>
          <w:sz w:val="28"/>
          <w:szCs w:val="28"/>
          <w:lang w:val="en-US" w:eastAsia="zh-CN"/>
        </w:rPr>
        <w:t>可持续影响目标：</w:t>
      </w:r>
      <w:r>
        <w:rPr>
          <w:rFonts w:hint="eastAsia" w:ascii="仿宋" w:hAnsi="仿宋" w:eastAsia="仿宋"/>
          <w:sz w:val="28"/>
          <w:szCs w:val="28"/>
          <w:lang w:val="zh-CN"/>
        </w:rPr>
        <w:t>优化区域经济结构和产业布局</w:t>
      </w:r>
      <w:r>
        <w:rPr>
          <w:rFonts w:hint="eastAsia" w:ascii="仿宋" w:hAnsi="仿宋" w:eastAsia="仿宋"/>
          <w:sz w:val="28"/>
          <w:szCs w:val="28"/>
          <w:lang w:val="zh-CN" w:eastAsia="zh-CN"/>
        </w:rPr>
        <w:t>。</w:t>
      </w:r>
    </w:p>
    <w:p w14:paraId="6D158FF1">
      <w:pPr>
        <w:spacing w:beforeLines="100" w:after="120"/>
        <w:ind w:firstLine="643"/>
        <w:outlineLvl w:val="0"/>
        <w:rPr>
          <w:rFonts w:cs="仿宋"/>
          <w:b/>
          <w:bCs/>
          <w:sz w:val="28"/>
          <w:szCs w:val="28"/>
        </w:rPr>
      </w:pPr>
      <w:r>
        <w:rPr>
          <w:rFonts w:hint="eastAsia" w:cs="仿宋"/>
          <w:b/>
          <w:bCs/>
          <w:sz w:val="28"/>
          <w:szCs w:val="28"/>
        </w:rPr>
        <w:t>六、潜在影响项目的风险评估</w:t>
      </w:r>
    </w:p>
    <w:p w14:paraId="0DF6B276">
      <w:pPr>
        <w:ind w:firstLine="640"/>
        <w:outlineLvl w:val="1"/>
        <w:rPr>
          <w:rFonts w:cs="仿宋"/>
          <w:sz w:val="28"/>
          <w:szCs w:val="28"/>
        </w:rPr>
      </w:pPr>
      <w:bookmarkStart w:id="15" w:name="_Toc20292"/>
      <w:bookmarkStart w:id="16" w:name="_Toc24265"/>
      <w:bookmarkStart w:id="17" w:name="_Toc17567"/>
      <w:bookmarkStart w:id="18" w:name="_Toc11878"/>
      <w:bookmarkStart w:id="19" w:name="_Toc9001"/>
      <w:bookmarkStart w:id="20" w:name="_Toc1719522"/>
      <w:bookmarkStart w:id="21" w:name="_Toc19329"/>
      <w:bookmarkStart w:id="22" w:name="_Toc9837"/>
      <w:bookmarkStart w:id="23" w:name="_Toc8567"/>
      <w:bookmarkStart w:id="24" w:name="_Toc17546587"/>
      <w:bookmarkStart w:id="25" w:name="_Toc522211116"/>
      <w:bookmarkStart w:id="26" w:name="_Toc13272"/>
      <w:bookmarkStart w:id="27" w:name="_Toc19307"/>
      <w:bookmarkStart w:id="28" w:name="_Toc523481580"/>
      <w:bookmarkStart w:id="29" w:name="_Toc8221"/>
      <w:bookmarkStart w:id="30" w:name="_Toc10507"/>
      <w:bookmarkStart w:id="31" w:name="_Toc23946"/>
      <w:bookmarkStart w:id="32" w:name="_Toc31579"/>
      <w:bookmarkStart w:id="33" w:name="_Toc533440373"/>
      <w:bookmarkStart w:id="34" w:name="_Toc3133"/>
      <w:r>
        <w:rPr>
          <w:rFonts w:hint="eastAsia" w:cs="仿宋"/>
          <w:sz w:val="28"/>
          <w:szCs w:val="28"/>
        </w:rPr>
        <w:t>1.自然环境和施工条件</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1C57D17">
      <w:pPr>
        <w:ind w:firstLine="640"/>
        <w:rPr>
          <w:rFonts w:cs="仿宋"/>
          <w:sz w:val="28"/>
          <w:szCs w:val="28"/>
        </w:rPr>
      </w:pPr>
      <w:r>
        <w:rPr>
          <w:rFonts w:hint="eastAsia" w:cs="仿宋"/>
          <w:sz w:val="28"/>
          <w:szCs w:val="28"/>
        </w:rPr>
        <w:t>风险识别：自然环境和施工条件风险主要是指恶劣的自然条件，恶劣的气候和环境，恶劣的现场条件以及不利的地理环境等。项目存在因自然环境和施工条件的因素而形成的风险，如地震，风暴，异常恶劣的雨、雪、冰冻天气等；未能预测到的特殊地质条件，如泥石流、河塘、流沙、泉眼等；恶劣的施工现场条件或考古文物保护等都会造成工期的拖延和财产的损失。</w:t>
      </w:r>
    </w:p>
    <w:p w14:paraId="3B4ED36A">
      <w:pPr>
        <w:ind w:firstLine="640"/>
        <w:rPr>
          <w:rFonts w:cs="仿宋"/>
          <w:sz w:val="28"/>
          <w:szCs w:val="28"/>
        </w:rPr>
      </w:pPr>
      <w:r>
        <w:rPr>
          <w:rFonts w:hint="eastAsia" w:cs="仿宋"/>
          <w:sz w:val="28"/>
          <w:szCs w:val="28"/>
        </w:rPr>
        <w:t>风险控制措施：由自然环境和施工条件造成的风险最好的控制措施是通过购买保险等方式进行风险转移，风险转移是向保险公司投保，将项目部分风险损失转移给保险公司承担，本项目在建设期按照国家规定强制购买工程一切险，本项目保险费已按规定计入项目总投资其它建设费用类。</w:t>
      </w:r>
    </w:p>
    <w:p w14:paraId="0F0FF803">
      <w:pPr>
        <w:ind w:firstLine="640"/>
        <w:outlineLvl w:val="1"/>
        <w:rPr>
          <w:rFonts w:cs="仿宋"/>
          <w:sz w:val="28"/>
          <w:szCs w:val="28"/>
        </w:rPr>
      </w:pPr>
      <w:bookmarkStart w:id="35" w:name="_Toc3884"/>
      <w:bookmarkStart w:id="36" w:name="_Toc19820"/>
      <w:bookmarkStart w:id="37" w:name="_Toc11694"/>
      <w:bookmarkStart w:id="38" w:name="_Toc17546588"/>
      <w:bookmarkStart w:id="39" w:name="_Toc8314"/>
      <w:bookmarkStart w:id="40" w:name="_Toc23366"/>
      <w:bookmarkStart w:id="41" w:name="_Toc4753"/>
      <w:bookmarkStart w:id="42" w:name="_Toc1902"/>
      <w:bookmarkStart w:id="43" w:name="_Toc4903"/>
      <w:bookmarkStart w:id="44" w:name="_Toc5424"/>
      <w:bookmarkStart w:id="45" w:name="_Toc27268"/>
      <w:bookmarkStart w:id="46" w:name="_Toc533440374"/>
      <w:bookmarkStart w:id="47" w:name="_Toc20209"/>
      <w:bookmarkStart w:id="48" w:name="_Toc9961"/>
      <w:bookmarkStart w:id="49" w:name="_Toc8987"/>
      <w:bookmarkStart w:id="50" w:name="_Toc522211117"/>
      <w:bookmarkStart w:id="51" w:name="_Toc1719523"/>
      <w:bookmarkStart w:id="52" w:name="_Toc523481581"/>
      <w:bookmarkStart w:id="53" w:name="_Toc9730"/>
      <w:r>
        <w:rPr>
          <w:rFonts w:hint="eastAsia" w:cs="仿宋"/>
          <w:sz w:val="28"/>
          <w:szCs w:val="28"/>
        </w:rPr>
        <w:t>2.来源于施工方的风险因素</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CD99B80">
      <w:pPr>
        <w:ind w:firstLine="640"/>
        <w:rPr>
          <w:rFonts w:cs="仿宋"/>
          <w:sz w:val="28"/>
          <w:szCs w:val="28"/>
        </w:rPr>
      </w:pPr>
      <w:r>
        <w:rPr>
          <w:rFonts w:hint="eastAsia" w:cs="仿宋"/>
          <w:sz w:val="28"/>
          <w:szCs w:val="28"/>
        </w:rPr>
        <w:t>风险识别：施工方的风险因素主要由施工技术不当、管理方案不完善导致。管理者及工程人员的水平和工作态度的影响；施工管理不善、发包方、承包方、监理方不行形成高效的合作机制；建筑原材料、成品、半成品质量的影响；施工所采用的技术方案、工艺流程、管理组织措施的影响。</w:t>
      </w:r>
    </w:p>
    <w:p w14:paraId="7B139C5D">
      <w:pPr>
        <w:ind w:firstLine="640"/>
        <w:rPr>
          <w:rFonts w:cs="仿宋"/>
          <w:sz w:val="28"/>
          <w:szCs w:val="28"/>
        </w:rPr>
      </w:pPr>
      <w:r>
        <w:rPr>
          <w:rFonts w:hint="eastAsia" w:cs="仿宋"/>
          <w:sz w:val="28"/>
          <w:szCs w:val="28"/>
        </w:rPr>
        <w:t>风险控制措施：在招标和工程实施中应确保相关人员的素质和水平，特别是设计负责人和专业负责人、总监理工程师、施工项目经理、业主代表及各类管理人员。对建筑原材料（如水泥、砂石、钢材，机械设备、电线电缆、管材以及其它成品、半成品等），必须严格从招标、签定合同、出厂合格证、进场检测、现场保管、安装调试、工程验收等各个环节把好关，杜绝不合格产品和材料用于工程建设。</w:t>
      </w:r>
    </w:p>
    <w:p w14:paraId="40D9416F">
      <w:pPr>
        <w:ind w:firstLine="640"/>
        <w:outlineLvl w:val="1"/>
        <w:rPr>
          <w:rFonts w:cs="仿宋"/>
          <w:sz w:val="28"/>
          <w:szCs w:val="28"/>
        </w:rPr>
      </w:pPr>
      <w:bookmarkStart w:id="54" w:name="_Toc533440375"/>
      <w:bookmarkStart w:id="55" w:name="_Toc20901"/>
      <w:bookmarkStart w:id="56" w:name="_Toc6870"/>
      <w:bookmarkStart w:id="57" w:name="_Toc522211118"/>
      <w:bookmarkStart w:id="58" w:name="_Toc9158"/>
      <w:bookmarkStart w:id="59" w:name="_Toc19050"/>
      <w:bookmarkStart w:id="60" w:name="_Toc6172"/>
      <w:bookmarkStart w:id="61" w:name="_Toc28355"/>
      <w:bookmarkStart w:id="62" w:name="_Toc3244"/>
      <w:bookmarkStart w:id="63" w:name="_Toc523481582"/>
      <w:bookmarkStart w:id="64" w:name="_Toc20569"/>
      <w:bookmarkStart w:id="65" w:name="_Toc26119"/>
      <w:bookmarkStart w:id="66" w:name="_Toc4267"/>
      <w:bookmarkStart w:id="67" w:name="_Toc1719524"/>
      <w:bookmarkStart w:id="68" w:name="_Toc8590"/>
      <w:bookmarkStart w:id="69" w:name="_Toc29272"/>
      <w:bookmarkStart w:id="70" w:name="_Toc32054"/>
      <w:bookmarkStart w:id="71" w:name="_Toc17546589"/>
      <w:bookmarkStart w:id="72" w:name="_Toc16602"/>
      <w:r>
        <w:rPr>
          <w:rFonts w:hint="eastAsia" w:cs="仿宋"/>
          <w:sz w:val="28"/>
          <w:szCs w:val="28"/>
        </w:rPr>
        <w:t>3.来源于设计单位的风险因素</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DC35773">
      <w:pPr>
        <w:ind w:firstLine="640"/>
        <w:rPr>
          <w:rFonts w:cs="仿宋"/>
          <w:sz w:val="28"/>
          <w:szCs w:val="28"/>
        </w:rPr>
      </w:pPr>
      <w:r>
        <w:rPr>
          <w:rFonts w:hint="eastAsia" w:cs="仿宋"/>
          <w:sz w:val="28"/>
          <w:szCs w:val="28"/>
        </w:rPr>
        <w:t>风险识别：设计风险主要体现在设计质量、设计变更两个方面。设计质量风险，因设计单位水平不足，导致项目设计不合理，技术方案表达不充分，质量达不到国家相关规范标准要求，或评审、验证不够充分，导致设计缺陷；设计变更会影响施工安排，会导致施工进度延误，造成承包人工期推延和经济损失。</w:t>
      </w:r>
    </w:p>
    <w:p w14:paraId="59DC3E1B">
      <w:pPr>
        <w:ind w:firstLine="640"/>
        <w:rPr>
          <w:rFonts w:cs="仿宋"/>
          <w:sz w:val="28"/>
          <w:szCs w:val="28"/>
        </w:rPr>
      </w:pPr>
      <w:r>
        <w:rPr>
          <w:rFonts w:hint="eastAsia" w:cs="仿宋"/>
          <w:sz w:val="28"/>
          <w:szCs w:val="28"/>
        </w:rPr>
        <w:t>风险控制措施：应拟订规划设计大纲，明确设计质量标准。在设计阶段，设计单位因充分了解项目情况，勘察仔细，因地制宜，评估到位，设计合理、规范满足国家规范、标准，评审环节充分验证、符合仔细，保证设计质量。阶段设计完成后，应进行全面审核，内容包括计划投资、方案比选、文件规范、结构安全、工艺先进性、技术合理性、施工可行性。提交施工图后及时报送进行施工图审查、设计交底和图纸会审。</w:t>
      </w:r>
    </w:p>
    <w:p w14:paraId="1EE3CE0A">
      <w:pPr>
        <w:ind w:firstLine="640"/>
        <w:outlineLvl w:val="1"/>
        <w:rPr>
          <w:rFonts w:cs="仿宋"/>
          <w:sz w:val="28"/>
          <w:szCs w:val="28"/>
        </w:rPr>
      </w:pPr>
      <w:bookmarkStart w:id="73" w:name="_Toc4485"/>
      <w:bookmarkStart w:id="74" w:name="_Toc15109"/>
      <w:bookmarkStart w:id="75" w:name="_Toc9854"/>
      <w:bookmarkStart w:id="76" w:name="_Toc20711"/>
      <w:bookmarkStart w:id="77" w:name="_Toc19097"/>
      <w:bookmarkStart w:id="78" w:name="_Toc24646"/>
      <w:bookmarkStart w:id="79" w:name="_Toc6452"/>
      <w:bookmarkStart w:id="80" w:name="_Toc14970"/>
      <w:bookmarkStart w:id="81" w:name="_Toc12405"/>
      <w:bookmarkStart w:id="82" w:name="_Toc523481583"/>
      <w:bookmarkStart w:id="83" w:name="_Toc522211119"/>
      <w:bookmarkStart w:id="84" w:name="_Toc1719525"/>
      <w:bookmarkStart w:id="85" w:name="_Toc533440376"/>
      <w:bookmarkStart w:id="86" w:name="_Toc10613"/>
      <w:bookmarkStart w:id="87" w:name="_Toc6360"/>
      <w:bookmarkStart w:id="88" w:name="_Toc865"/>
      <w:bookmarkStart w:id="89" w:name="_Toc3278"/>
      <w:bookmarkStart w:id="90" w:name="_Toc17546590"/>
      <w:bookmarkStart w:id="91" w:name="_Toc17264"/>
      <w:r>
        <w:rPr>
          <w:rFonts w:hint="eastAsia" w:cs="仿宋"/>
          <w:sz w:val="28"/>
          <w:szCs w:val="28"/>
        </w:rPr>
        <w:t>4.来源于供应商的风险因素</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3011619">
      <w:pPr>
        <w:ind w:firstLine="640"/>
        <w:rPr>
          <w:rFonts w:cs="仿宋"/>
          <w:sz w:val="28"/>
          <w:szCs w:val="28"/>
        </w:rPr>
      </w:pPr>
      <w:r>
        <w:rPr>
          <w:rFonts w:hint="eastAsia" w:cs="仿宋"/>
          <w:sz w:val="28"/>
          <w:szCs w:val="28"/>
        </w:rPr>
        <w:t>风险识别：来源于供应商的风险因素包括选择供应商不当，供应商自担风险的能力较低，劳动力市场、材料市场、设备市场等，这些市场价格的变化，特别是价格的上涨。造成供应商违约，不能按质按量按期完成分包工程，从而影响整个工程的进度或发生经济损失；</w:t>
      </w:r>
    </w:p>
    <w:p w14:paraId="08E17D2D">
      <w:pPr>
        <w:ind w:firstLine="640"/>
        <w:rPr>
          <w:rFonts w:cs="仿宋"/>
          <w:sz w:val="28"/>
          <w:szCs w:val="28"/>
        </w:rPr>
      </w:pPr>
      <w:r>
        <w:rPr>
          <w:rFonts w:hint="eastAsia" w:cs="仿宋"/>
          <w:sz w:val="28"/>
          <w:szCs w:val="28"/>
        </w:rPr>
        <w:t>风险控制措施：项目在选择供应商时，应选择信誉好、实力强、自担风险能力较高的供应商，或设置合理的调价机制，对价格上涨风情况进行一定的调价约定，降低供应商违约风险。同时可以通过收取履约保证金的方式，降低违约风险。</w:t>
      </w:r>
    </w:p>
    <w:p w14:paraId="0F158AF7">
      <w:pPr>
        <w:ind w:firstLine="640"/>
        <w:outlineLvl w:val="1"/>
        <w:rPr>
          <w:rFonts w:cs="仿宋"/>
          <w:sz w:val="28"/>
          <w:szCs w:val="28"/>
        </w:rPr>
      </w:pPr>
      <w:bookmarkStart w:id="92" w:name="_Toc6631"/>
      <w:bookmarkStart w:id="93" w:name="_Toc522211120"/>
      <w:bookmarkStart w:id="94" w:name="_Toc533440377"/>
      <w:bookmarkStart w:id="95" w:name="_Toc14916"/>
      <w:bookmarkStart w:id="96" w:name="_Toc523481584"/>
      <w:bookmarkStart w:id="97" w:name="_Toc24197"/>
      <w:bookmarkStart w:id="98" w:name="_Toc23826"/>
      <w:bookmarkStart w:id="99" w:name="_Toc24695"/>
      <w:bookmarkStart w:id="100" w:name="_Toc19736"/>
      <w:bookmarkStart w:id="101" w:name="_Toc4257"/>
      <w:bookmarkStart w:id="102" w:name="_Toc11220"/>
      <w:bookmarkStart w:id="103" w:name="_Toc17546591"/>
      <w:bookmarkStart w:id="104" w:name="_Toc1719526"/>
      <w:bookmarkStart w:id="105" w:name="_Toc15152"/>
      <w:bookmarkStart w:id="106" w:name="_Toc30520"/>
      <w:bookmarkStart w:id="107" w:name="_Toc3246"/>
      <w:bookmarkStart w:id="108" w:name="_Toc917"/>
      <w:bookmarkStart w:id="109" w:name="_Toc17686"/>
      <w:bookmarkStart w:id="110" w:name="_Toc17018"/>
      <w:r>
        <w:rPr>
          <w:rFonts w:hint="eastAsia" w:cs="仿宋"/>
          <w:sz w:val="28"/>
          <w:szCs w:val="28"/>
        </w:rPr>
        <w:t>5.资金落实情况</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3C2E6F7">
      <w:pPr>
        <w:ind w:firstLine="640"/>
        <w:rPr>
          <w:rFonts w:cs="仿宋"/>
          <w:sz w:val="28"/>
          <w:szCs w:val="28"/>
        </w:rPr>
      </w:pPr>
      <w:r>
        <w:rPr>
          <w:rFonts w:hint="eastAsia" w:cs="仿宋"/>
          <w:sz w:val="28"/>
          <w:szCs w:val="28"/>
        </w:rPr>
        <w:t>风险识别：资金落实风险主要是因融资、拨款等环节的各种客、主观原因，资金不能及时到位，导致项目建设停工或拖延；或是利率变化导致融资成本升高而形成的。</w:t>
      </w:r>
    </w:p>
    <w:p w14:paraId="18BC67D1">
      <w:pPr>
        <w:ind w:firstLine="640"/>
        <w:rPr>
          <w:rFonts w:cs="仿宋"/>
          <w:sz w:val="28"/>
          <w:szCs w:val="28"/>
        </w:rPr>
      </w:pPr>
      <w:r>
        <w:rPr>
          <w:rFonts w:hint="eastAsia" w:cs="仿宋"/>
          <w:sz w:val="28"/>
          <w:szCs w:val="28"/>
        </w:rPr>
        <w:t>风险控制措施：建议项目可以拓展各种融资渠道，准确把握国家宏观经济政策、国家及地方产业发展政策，充分利用有利条件，在其变化时及时调整策略。加强对项目的资金管理，落实建设资金，保证工程按期完工。</w:t>
      </w:r>
    </w:p>
    <w:p w14:paraId="3B6732BC">
      <w:pPr>
        <w:ind w:firstLine="640"/>
        <w:outlineLvl w:val="1"/>
        <w:rPr>
          <w:rFonts w:cs="仿宋"/>
          <w:sz w:val="28"/>
          <w:szCs w:val="28"/>
        </w:rPr>
      </w:pPr>
      <w:bookmarkStart w:id="111" w:name="_Toc24179"/>
      <w:bookmarkStart w:id="112" w:name="_Toc16315"/>
      <w:bookmarkStart w:id="113" w:name="_Toc17546592"/>
      <w:bookmarkStart w:id="114" w:name="_Toc2792"/>
      <w:bookmarkStart w:id="115" w:name="_Toc533440378"/>
      <w:bookmarkStart w:id="116" w:name="_Toc2256"/>
      <w:bookmarkStart w:id="117" w:name="_Toc27123"/>
      <w:bookmarkStart w:id="118" w:name="_Toc21095"/>
      <w:bookmarkStart w:id="119" w:name="_Toc29925"/>
      <w:bookmarkStart w:id="120" w:name="_Toc1719527"/>
      <w:bookmarkStart w:id="121" w:name="_Toc3287"/>
      <w:bookmarkStart w:id="122" w:name="_Toc1406"/>
      <w:bookmarkStart w:id="123" w:name="_Toc25838"/>
      <w:bookmarkStart w:id="124" w:name="_Toc522211121"/>
      <w:bookmarkStart w:id="125" w:name="_Toc11056"/>
      <w:bookmarkStart w:id="126" w:name="_Toc19503"/>
      <w:bookmarkStart w:id="127" w:name="_Toc21427"/>
      <w:bookmarkStart w:id="128" w:name="_Toc32413"/>
      <w:bookmarkStart w:id="129" w:name="_Toc523481585"/>
      <w:r>
        <w:rPr>
          <w:rFonts w:hint="eastAsia" w:cs="仿宋"/>
          <w:sz w:val="28"/>
          <w:szCs w:val="28"/>
        </w:rPr>
        <w:t>6.工程事故</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F08420F">
      <w:pPr>
        <w:ind w:firstLine="640"/>
        <w:rPr>
          <w:rFonts w:cs="仿宋"/>
          <w:sz w:val="28"/>
          <w:szCs w:val="28"/>
        </w:rPr>
      </w:pPr>
      <w:r>
        <w:rPr>
          <w:rFonts w:hint="eastAsia" w:cs="仿宋"/>
          <w:sz w:val="28"/>
          <w:szCs w:val="28"/>
        </w:rPr>
        <w:t>风险识别：工程事故风险主要存在于施工过程中，施工中人的不安全行为、物的不安全状态、作业环境的不安全因素和管理缺陷是项目发生工程事故的主要原因，必须采取有针对性的控制措施。</w:t>
      </w:r>
    </w:p>
    <w:p w14:paraId="6C107493">
      <w:pPr>
        <w:ind w:firstLine="640"/>
        <w:rPr>
          <w:rFonts w:cs="仿宋"/>
          <w:sz w:val="28"/>
          <w:szCs w:val="28"/>
        </w:rPr>
      </w:pPr>
      <w:r>
        <w:rPr>
          <w:rFonts w:hint="eastAsia" w:cs="仿宋"/>
          <w:sz w:val="28"/>
          <w:szCs w:val="28"/>
        </w:rPr>
        <w:t>风险控制措施：工程事故问题是建设工程项目的核心问题，存在较大风险。在项目前期招标过程中，选定设计、监理、施工、设备材料供应商时，应把安全和防止质量事故作为重要因素考虑。在审查相关单位设计文件、监理实施细则、施工组织设计、设备招标文件以及签订合同时都应给予足够重视。项目建设期间，必须在安全危险源识别、评估基础上，编制施工组织设计和施工方案，制定安全技术措施和施工现场临时用电方案；对危险性较大分部分项工程，编制专项安全施工方案。应派驻经验丰富的甲方代表加强该方面工作，遇到质量、安全隐患及时提出整改要求。</w:t>
      </w:r>
    </w:p>
    <w:p w14:paraId="53438C93">
      <w:pPr>
        <w:spacing w:before="240" w:after="120"/>
        <w:ind w:firstLine="643"/>
        <w:outlineLvl w:val="0"/>
        <w:rPr>
          <w:rFonts w:cs="仿宋"/>
          <w:b/>
          <w:bCs/>
          <w:sz w:val="28"/>
          <w:szCs w:val="28"/>
        </w:rPr>
      </w:pPr>
      <w:r>
        <w:rPr>
          <w:rFonts w:hint="eastAsia" w:cs="仿宋"/>
          <w:b/>
          <w:bCs/>
          <w:sz w:val="28"/>
          <w:szCs w:val="28"/>
        </w:rPr>
        <w:t>七、还款保障情况</w:t>
      </w:r>
    </w:p>
    <w:p w14:paraId="4689BDEC">
      <w:pPr>
        <w:ind w:firstLine="640"/>
        <w:rPr>
          <w:sz w:val="28"/>
          <w:szCs w:val="28"/>
        </w:rPr>
      </w:pPr>
      <w:r>
        <w:rPr>
          <w:rFonts w:hint="eastAsia"/>
          <w:sz w:val="28"/>
          <w:szCs w:val="28"/>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0252D482">
      <w:pPr>
        <w:spacing w:before="240" w:after="120"/>
        <w:ind w:firstLine="643"/>
        <w:outlineLvl w:val="0"/>
        <w:rPr>
          <w:rFonts w:cs="仿宋"/>
          <w:b/>
          <w:bCs/>
          <w:sz w:val="28"/>
          <w:szCs w:val="28"/>
        </w:rPr>
      </w:pPr>
      <w:r>
        <w:rPr>
          <w:rFonts w:hint="eastAsia" w:cs="仿宋"/>
          <w:b/>
          <w:bCs/>
          <w:sz w:val="28"/>
          <w:szCs w:val="28"/>
        </w:rPr>
        <w:t>八、主管部门职责</w:t>
      </w:r>
    </w:p>
    <w:p w14:paraId="10A5E17C">
      <w:pPr>
        <w:ind w:firstLine="640"/>
        <w:rPr>
          <w:rFonts w:cs="仿宋"/>
          <w:sz w:val="28"/>
          <w:szCs w:val="28"/>
        </w:rPr>
      </w:pPr>
      <w:r>
        <w:rPr>
          <w:rFonts w:hint="eastAsia" w:cs="仿宋"/>
          <w:sz w:val="28"/>
          <w:szCs w:val="28"/>
        </w:rPr>
        <w:t>本项目主管部门为</w:t>
      </w:r>
      <w:r>
        <w:rPr>
          <w:rFonts w:hint="eastAsia" w:cs="仿宋"/>
          <w:sz w:val="28"/>
          <w:szCs w:val="28"/>
          <w:lang w:eastAsia="zh-CN"/>
        </w:rPr>
        <w:t>什邡市水利局</w:t>
      </w:r>
      <w:r>
        <w:rPr>
          <w:rFonts w:hint="eastAsia" w:cs="仿宋"/>
          <w:sz w:val="28"/>
          <w:szCs w:val="28"/>
        </w:rPr>
        <w:t>，职责为负责对本部门专项债券项目审核把关。指导本行业项目规划与储备、梳理项目需求和编制项目实施方案。指导本行业及时规范使用债券资金，对建设运营情况进行监督，并统筹协调相关部门保障项目建设进度，如期实现项目收入。主管部门协同财政部门将项目收益专项债券对应项目形成的资产纳入国有资产管理，加强资产日常统计和动态监控。</w:t>
      </w:r>
    </w:p>
    <w:p w14:paraId="0238BF5E">
      <w:pPr>
        <w:ind w:firstLine="640"/>
        <w:rPr>
          <w:rFonts w:cs="仿宋"/>
          <w:sz w:val="28"/>
          <w:szCs w:val="28"/>
        </w:rPr>
      </w:pPr>
      <w:r>
        <w:rPr>
          <w:rFonts w:hint="eastAsia" w:cs="仿宋"/>
          <w:sz w:val="28"/>
          <w:szCs w:val="28"/>
        </w:rPr>
        <w:t>本项目的项目单位为</w:t>
      </w:r>
      <w:r>
        <w:rPr>
          <w:rFonts w:hint="eastAsia" w:cs="仿宋"/>
          <w:sz w:val="28"/>
          <w:szCs w:val="28"/>
          <w:lang w:eastAsia="zh-CN"/>
        </w:rPr>
        <w:t>什邡恒基置业有限公司</w:t>
      </w:r>
      <w:r>
        <w:rPr>
          <w:rFonts w:hint="eastAsia" w:cs="仿宋"/>
          <w:sz w:val="28"/>
          <w:szCs w:val="28"/>
        </w:rPr>
        <w:t>，职责为负责提出本项目需求申请，编制报送项目实施方案及相关资料，配合做好债券发行准备。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做好数据填报、信息公开等相关工作。项目单位对专项债券资金收入和支出、对应项目形成的收入和支出进行专账核算，准确反映资金的收支情况。项目单位应当单独开设账户，用于专项债券资金、项目资本金、项目收入、还本付息等资金监管。协同财政部门将项目收益专项债券对应项目形成的资产纳入国有资产管理，加强资产日常统计和动态监控。</w:t>
      </w:r>
    </w:p>
    <w:p w14:paraId="5A59C9D8">
      <w:pPr>
        <w:numPr>
          <w:ilvl w:val="0"/>
          <w:numId w:val="3"/>
        </w:numPr>
        <w:spacing w:before="240" w:after="120"/>
        <w:ind w:firstLine="643"/>
        <w:outlineLvl w:val="0"/>
        <w:rPr>
          <w:rFonts w:cs="仿宋"/>
          <w:b/>
          <w:bCs/>
          <w:sz w:val="28"/>
          <w:szCs w:val="28"/>
        </w:rPr>
      </w:pPr>
      <w:r>
        <w:rPr>
          <w:rFonts w:hint="eastAsia" w:cs="仿宋"/>
          <w:b/>
          <w:bCs/>
          <w:sz w:val="28"/>
          <w:szCs w:val="28"/>
        </w:rPr>
        <w:t>补充说明</w:t>
      </w:r>
    </w:p>
    <w:p w14:paraId="50A7192B">
      <w:pPr>
        <w:ind w:firstLine="640"/>
        <w:rPr>
          <w:rFonts w:hint="eastAsia" w:eastAsia="仿宋" w:cs="仿宋"/>
          <w:sz w:val="28"/>
          <w:szCs w:val="28"/>
          <w:highlight w:val="yellow"/>
          <w:lang w:val="en-US" w:eastAsia="zh-CN"/>
        </w:rPr>
      </w:pPr>
      <w:r>
        <w:rPr>
          <w:rFonts w:hint="eastAsia" w:cs="仿宋"/>
          <w:sz w:val="28"/>
          <w:szCs w:val="28"/>
          <w:highlight w:val="none"/>
          <w:lang w:val="en-US" w:eastAsia="zh-CN"/>
        </w:rPr>
        <w:t>此项目债券资金总需求35000万元，根据地方政府债务限额管理要求和项目实施进展情况，2025年-2026年已经发行16000万元，本次拟发行954.48万元，期限15年。该项目实施内容及收益来源未发生变动，在不超过项目债券总需求情况下，债券分批次跨年发行对项目整体融资平衡不构成实质影响。</w:t>
      </w:r>
    </w:p>
    <w:sectPr>
      <w:pgSz w:w="11906" w:h="16838"/>
      <w:pgMar w:top="2098" w:right="1418" w:bottom="1588" w:left="1644" w:header="851" w:footer="992" w:gutter="0"/>
      <w:pgNumType w:fmt="numberInDash"/>
      <w:cols w:space="720" w:num="1"/>
      <w:docGrid w:type="lines" w:linePitch="435" w:charSpace="0"/>
    </w:sectPr>
  </w:body>
</w:document>
</file>

<file path=word/customizations.xml><?xml version="1.0" encoding="utf-8"?>
<wne:tcg xmlns:r="http://schemas.openxmlformats.org/officeDocument/2006/relationships" xmlns:wne="http://schemas.microsoft.com/office/word/2006/wordml">
  <wne:keymaps>
    <wne:keymap wne:kcmPrimary="065A">
      <wne:acd wne:acdName="acd0"/>
    </wne:keymap>
  </wne:keymaps>
  <wne:acds>
    <wne:acd wne:argValue="AQAAAA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Helvetica Neue">
    <w:altName w:val="微软雅黑"/>
    <w:panose1 w:val="00000000000000000000"/>
    <w:charset w:val="00"/>
    <w:family w:val="auto"/>
    <w:pitch w:val="default"/>
    <w:sig w:usb0="00000000" w:usb1="00000000" w:usb2="00000010" w:usb3="00000000" w:csb0="00000001" w:csb1="00000000"/>
  </w:font>
  <w:font w:name="微软雅黑">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Narrow">
    <w:panose1 w:val="020B0606020202030204"/>
    <w:charset w:val="00"/>
    <w:family w:val="auto"/>
    <w:pitch w:val="default"/>
    <w:sig w:usb0="00000287" w:usb1="000008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宋体 (正文)">
    <w:altName w:val="宋体"/>
    <w:panose1 w:val="00000000000000000000"/>
    <w:charset w:val="00"/>
    <w:family w:val="auto"/>
    <w:pitch w:val="default"/>
    <w:sig w:usb0="00000000" w:usb1="00000000" w:usb2="00000000" w:usb3="00000000" w:csb0="00040001" w:csb1="00000000"/>
  </w:font>
  <w:font w:name="KSOF6AF88583">
    <w:panose1 w:val="020F0704030504030204"/>
    <w:charset w:val="00"/>
    <w:family w:val="auto"/>
    <w:pitch w:val="default"/>
    <w:sig w:usb0="00000001" w:usb1="00000000" w:usb2="00000000" w:usb3="00000000" w:csb0="00000001" w:csb1="00000000"/>
  </w:font>
  <w:font w:name="KSOF2C054221">
    <w:panose1 w:val="020B0503020204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BD63E">
    <w:pPr>
      <w:pStyle w:val="25"/>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44B10F6">
                          <w:pPr>
                            <w:snapToGrid w:val="0"/>
                            <w:spacing w:line="360" w:lineRule="auto"/>
                            <w:ind w:firstLine="560"/>
                            <w:rPr>
                              <w:rFonts w:ascii="宋体" w:hAnsi="宋体" w:eastAsia="宋体 (正文)" w:cs="Arial Unicode MS"/>
                              <w:color w:val="000000"/>
                              <w:sz w:val="18"/>
                              <w:szCs w:val="21"/>
                            </w:rPr>
                          </w:pPr>
                          <w:r>
                            <w:rPr>
                              <w:rFonts w:hint="eastAsia" w:ascii="宋体" w:hAnsi="宋体" w:eastAsia="宋体 (正文)" w:cs="Arial Unicode MS"/>
                              <w:color w:val="000000"/>
                              <w:sz w:val="28"/>
                              <w:szCs w:val="28"/>
                            </w:rPr>
                            <w:fldChar w:fldCharType="begin"/>
                          </w:r>
                          <w:r>
                            <w:rPr>
                              <w:rFonts w:hint="eastAsia" w:ascii="宋体" w:hAnsi="宋体" w:eastAsia="宋体 (正文)" w:cs="Arial Unicode MS"/>
                              <w:color w:val="000000"/>
                              <w:sz w:val="28"/>
                              <w:szCs w:val="28"/>
                            </w:rPr>
                            <w:instrText xml:space="preserve"> PAGE  \* MERGEFORMAT </w:instrText>
                          </w:r>
                          <w:r>
                            <w:rPr>
                              <w:rFonts w:hint="eastAsia" w:ascii="宋体" w:hAnsi="宋体" w:eastAsia="宋体 (正文)" w:cs="Arial Unicode MS"/>
                              <w:color w:val="000000"/>
                              <w:sz w:val="28"/>
                              <w:szCs w:val="28"/>
                            </w:rPr>
                            <w:fldChar w:fldCharType="separate"/>
                          </w:r>
                          <w:r>
                            <w:rPr>
                              <w:rFonts w:ascii="宋体" w:hAnsi="宋体" w:eastAsia="宋体 (正文)" w:cs="Arial Unicode MS"/>
                              <w:color w:val="000000"/>
                              <w:sz w:val="28"/>
                              <w:szCs w:val="28"/>
                            </w:rPr>
                            <w:t>- 16 -</w:t>
                          </w:r>
                          <w:r>
                            <w:rPr>
                              <w:rFonts w:hint="eastAsia" w:ascii="宋体" w:hAnsi="宋体" w:eastAsia="宋体 (正文)" w:cs="Arial Unicode MS"/>
                              <w:color w:val="000000"/>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44B10F6">
                    <w:pPr>
                      <w:snapToGrid w:val="0"/>
                      <w:spacing w:line="360" w:lineRule="auto"/>
                      <w:ind w:firstLine="560"/>
                      <w:rPr>
                        <w:rFonts w:ascii="宋体" w:hAnsi="宋体" w:eastAsia="宋体 (正文)" w:cs="Arial Unicode MS"/>
                        <w:color w:val="000000"/>
                        <w:sz w:val="18"/>
                        <w:szCs w:val="21"/>
                      </w:rPr>
                    </w:pPr>
                    <w:r>
                      <w:rPr>
                        <w:rFonts w:hint="eastAsia" w:ascii="宋体" w:hAnsi="宋体" w:eastAsia="宋体 (正文)" w:cs="Arial Unicode MS"/>
                        <w:color w:val="000000"/>
                        <w:sz w:val="28"/>
                        <w:szCs w:val="28"/>
                      </w:rPr>
                      <w:fldChar w:fldCharType="begin"/>
                    </w:r>
                    <w:r>
                      <w:rPr>
                        <w:rFonts w:hint="eastAsia" w:ascii="宋体" w:hAnsi="宋体" w:eastAsia="宋体 (正文)" w:cs="Arial Unicode MS"/>
                        <w:color w:val="000000"/>
                        <w:sz w:val="28"/>
                        <w:szCs w:val="28"/>
                      </w:rPr>
                      <w:instrText xml:space="preserve"> PAGE  \* MERGEFORMAT </w:instrText>
                    </w:r>
                    <w:r>
                      <w:rPr>
                        <w:rFonts w:hint="eastAsia" w:ascii="宋体" w:hAnsi="宋体" w:eastAsia="宋体 (正文)" w:cs="Arial Unicode MS"/>
                        <w:color w:val="000000"/>
                        <w:sz w:val="28"/>
                        <w:szCs w:val="28"/>
                      </w:rPr>
                      <w:fldChar w:fldCharType="separate"/>
                    </w:r>
                    <w:r>
                      <w:rPr>
                        <w:rFonts w:ascii="宋体" w:hAnsi="宋体" w:eastAsia="宋体 (正文)" w:cs="Arial Unicode MS"/>
                        <w:color w:val="000000"/>
                        <w:sz w:val="28"/>
                        <w:szCs w:val="28"/>
                      </w:rPr>
                      <w:t>- 16 -</w:t>
                    </w:r>
                    <w:r>
                      <w:rPr>
                        <w:rFonts w:hint="eastAsia" w:ascii="宋体" w:hAnsi="宋体" w:eastAsia="宋体 (正文)" w:cs="Arial Unicode MS"/>
                        <w:color w:val="000000"/>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E0FCE">
    <w:pPr>
      <w:pStyle w:val="26"/>
      <w:tabs>
        <w:tab w:val="right" w:pos="9000"/>
        <w:tab w:val="clear" w:pos="9020"/>
      </w:tabs>
    </w:pPr>
    <w:r>
      <mc:AlternateContent>
        <mc:Choice Requires="wps">
          <w:drawing>
            <wp:anchor distT="0" distB="0" distL="114300" distR="114300" simplePos="0" relativeHeight="251659264" behindDoc="1" locked="0" layoutInCell="1" allowOverlap="1">
              <wp:simplePos x="0" y="0"/>
              <wp:positionH relativeFrom="page">
                <wp:posOffset>3722370</wp:posOffset>
              </wp:positionH>
              <wp:positionV relativeFrom="page">
                <wp:posOffset>9833610</wp:posOffset>
              </wp:positionV>
              <wp:extent cx="114935" cy="131445"/>
              <wp:effectExtent l="0" t="0" r="0" b="0"/>
              <wp:wrapNone/>
              <wp:docPr id="1073741827" name="文本框 1073741827" descr="officeArt object"/>
              <wp:cNvGraphicFramePr/>
              <a:graphic xmlns:a="http://schemas.openxmlformats.org/drawingml/2006/main">
                <a:graphicData uri="http://schemas.microsoft.com/office/word/2010/wordprocessingShape">
                  <wps:wsp>
                    <wps:cNvSpPr txBox="1"/>
                    <wps:spPr>
                      <a:xfrm>
                        <a:off x="0" y="0"/>
                        <a:ext cx="114936" cy="131446"/>
                      </a:xfrm>
                      <a:prstGeom prst="rect">
                        <a:avLst/>
                      </a:prstGeom>
                      <a:noFill/>
                      <a:ln w="12700" cap="flat">
                        <a:noFill/>
                        <a:miter lim="400000"/>
                      </a:ln>
                      <a:effectLst/>
                    </wps:spPr>
                    <wps:txbx>
                      <w:txbxContent>
                        <w:p w14:paraId="073387CC">
                          <w:pPr>
                            <w:spacing w:line="360" w:lineRule="auto"/>
                            <w:ind w:firstLine="360"/>
                            <w:rPr>
                              <w:rFonts w:ascii="宋体" w:hAnsi="宋体" w:eastAsia="Times New Roman" w:cs="Arial Unicode MS"/>
                              <w:color w:val="000000"/>
                              <w:sz w:val="18"/>
                              <w:szCs w:val="18"/>
                            </w:rPr>
                          </w:pPr>
                          <w:r>
                            <w:rPr>
                              <w:rFonts w:hint="eastAsia" w:ascii="宋体" w:hAnsi="宋体" w:eastAsia="Times New Roman" w:cs="Arial Unicode MS"/>
                              <w:color w:val="000000"/>
                              <w:sz w:val="18"/>
                              <w:szCs w:val="18"/>
                            </w:rPr>
                            <w:fldChar w:fldCharType="begin"/>
                          </w:r>
                          <w:r>
                            <w:rPr>
                              <w:rFonts w:hint="eastAsia" w:ascii="宋体" w:hAnsi="宋体" w:eastAsia="Times New Roman" w:cs="Arial Unicode MS"/>
                              <w:color w:val="000000"/>
                              <w:sz w:val="18"/>
                              <w:szCs w:val="18"/>
                            </w:rPr>
                            <w:instrText xml:space="preserve"> PAGE </w:instrText>
                          </w:r>
                          <w:r>
                            <w:rPr>
                              <w:rFonts w:hint="eastAsia" w:ascii="宋体" w:hAnsi="宋体" w:eastAsia="Times New Roman" w:cs="Arial Unicode MS"/>
                              <w:color w:val="000000"/>
                              <w:sz w:val="18"/>
                              <w:szCs w:val="18"/>
                            </w:rPr>
                            <w:fldChar w:fldCharType="separate"/>
                          </w:r>
                          <w:r>
                            <w:rPr>
                              <w:rFonts w:ascii="宋体" w:hAnsi="宋体" w:eastAsia="Times New Roman" w:cs="Arial Unicode MS"/>
                              <w:color w:val="000000"/>
                              <w:sz w:val="18"/>
                              <w:szCs w:val="18"/>
                            </w:rPr>
                            <w:t>- 16 -</w:t>
                          </w:r>
                          <w:r>
                            <w:rPr>
                              <w:rFonts w:hint="eastAsia" w:ascii="宋体" w:hAnsi="宋体" w:eastAsia="Times New Roman" w:cs="Arial Unicode MS"/>
                              <w:color w:val="000000"/>
                              <w:sz w:val="18"/>
                              <w:szCs w:val="18"/>
                            </w:rPr>
                            <w:fldChar w:fldCharType="end"/>
                          </w:r>
                        </w:p>
                      </w:txbxContent>
                    </wps:txbx>
                    <wps:bodyPr wrap="square" lIns="0" tIns="0" rIns="0" bIns="0" numCol="1" anchor="t">
                      <a:noAutofit/>
                    </wps:bodyPr>
                  </wps:wsp>
                </a:graphicData>
              </a:graphic>
            </wp:anchor>
          </w:drawing>
        </mc:Choice>
        <mc:Fallback>
          <w:pict>
            <v:shape id="_x0000_s1026" o:spid="_x0000_s1026" o:spt="202" alt="officeArt object" type="#_x0000_t202" style="position:absolute;left:0pt;margin-left:293.1pt;margin-top:774.3pt;height:10.35pt;width:9.05pt;mso-position-horizontal-relative:page;mso-position-vertical-relative:page;z-index:-251657216;mso-width-relative:page;mso-height-relative:page;" filled="f" stroked="f" coordsize="21600,21600" o:gfxdata="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YKnjNoAAAANAQAADwAAAAAAAAABACAA&#10;AAAiAAAAZHJzL2Rvd25yZXYueG1sUEsBAhQAFAAAAAgAh07iQOenbXULAgAACAQAAA4AAAAAAAAA&#10;AQAgAAAAKQEAAGRycy9lMm9Eb2MueG1sUEsFBgAAAAAGAAYAWQEAAKYFAAAAAA==&#10;">
              <v:fill on="f" focussize="0,0"/>
              <v:stroke on="f" weight="1pt" miterlimit="4" joinstyle="miter"/>
              <v:imagedata o:title=""/>
              <o:lock v:ext="edit" aspectratio="f"/>
              <v:textbox inset="0mm,0mm,0mm,0mm">
                <w:txbxContent>
                  <w:p w14:paraId="073387CC">
                    <w:pPr>
                      <w:spacing w:line="360" w:lineRule="auto"/>
                      <w:ind w:firstLine="360"/>
                      <w:rPr>
                        <w:rFonts w:ascii="宋体" w:hAnsi="宋体" w:eastAsia="Times New Roman" w:cs="Arial Unicode MS"/>
                        <w:color w:val="000000"/>
                        <w:sz w:val="18"/>
                        <w:szCs w:val="18"/>
                      </w:rPr>
                    </w:pPr>
                    <w:r>
                      <w:rPr>
                        <w:rFonts w:hint="eastAsia" w:ascii="宋体" w:hAnsi="宋体" w:eastAsia="Times New Roman" w:cs="Arial Unicode MS"/>
                        <w:color w:val="000000"/>
                        <w:sz w:val="18"/>
                        <w:szCs w:val="18"/>
                      </w:rPr>
                      <w:fldChar w:fldCharType="begin"/>
                    </w:r>
                    <w:r>
                      <w:rPr>
                        <w:rFonts w:hint="eastAsia" w:ascii="宋体" w:hAnsi="宋体" w:eastAsia="Times New Roman" w:cs="Arial Unicode MS"/>
                        <w:color w:val="000000"/>
                        <w:sz w:val="18"/>
                        <w:szCs w:val="18"/>
                      </w:rPr>
                      <w:instrText xml:space="preserve"> PAGE </w:instrText>
                    </w:r>
                    <w:r>
                      <w:rPr>
                        <w:rFonts w:hint="eastAsia" w:ascii="宋体" w:hAnsi="宋体" w:eastAsia="Times New Roman" w:cs="Arial Unicode MS"/>
                        <w:color w:val="000000"/>
                        <w:sz w:val="18"/>
                        <w:szCs w:val="18"/>
                      </w:rPr>
                      <w:fldChar w:fldCharType="separate"/>
                    </w:r>
                    <w:r>
                      <w:rPr>
                        <w:rFonts w:ascii="宋体" w:hAnsi="宋体" w:eastAsia="Times New Roman" w:cs="Arial Unicode MS"/>
                        <w:color w:val="000000"/>
                        <w:sz w:val="18"/>
                        <w:szCs w:val="18"/>
                      </w:rPr>
                      <w:t>- 16 -</w:t>
                    </w:r>
                    <w:r>
                      <w:rPr>
                        <w:rFonts w:hint="eastAsia" w:ascii="宋体" w:hAnsi="宋体" w:eastAsia="Times New Roman" w:cs="Arial Unicode MS"/>
                        <w:color w:val="000000"/>
                        <w:sz w:val="18"/>
                        <w:szCs w:val="18"/>
                      </w:rP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9"/>
      <w:numFmt w:val="chineseCounting"/>
      <w:suff w:val="nothing"/>
      <w:lvlText w:val="%1、"/>
      <w:lvlJc w:val="left"/>
    </w:lvl>
  </w:abstractNum>
  <w:abstractNum w:abstractNumId="1">
    <w:nsid w:val="0E40E395"/>
    <w:multiLevelType w:val="singleLevel"/>
    <w:tmpl w:val="0E40E395"/>
    <w:lvl w:ilvl="0" w:tentative="0">
      <w:start w:val="2"/>
      <w:numFmt w:val="decimal"/>
      <w:lvlText w:val="%1."/>
      <w:lvlJc w:val="left"/>
      <w:pPr>
        <w:tabs>
          <w:tab w:val="left" w:pos="312"/>
        </w:tabs>
      </w:pPr>
    </w:lvl>
  </w:abstractNum>
  <w:abstractNum w:abstractNumId="2">
    <w:nsid w:val="5D7DD30D"/>
    <w:multiLevelType w:val="multilevel"/>
    <w:tmpl w:val="5D7DD30D"/>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pStyle w:val="7"/>
      <w:suff w:val="nothing"/>
      <w:lvlText w:val="（%4）"/>
      <w:lvlJc w:val="left"/>
      <w:pPr>
        <w:ind w:left="0" w:firstLine="402"/>
      </w:pPr>
      <w:rPr>
        <w:rFonts w:hint="eastAsia"/>
      </w:rPr>
    </w:lvl>
    <w:lvl w:ilvl="4" w:tentative="0">
      <w:start w:val="1"/>
      <w:numFmt w:val="decimalEnclosedCircleChinese"/>
      <w:pStyle w:val="8"/>
      <w:suff w:val="nothing"/>
      <w:lvlText w:val="%5"/>
      <w:lvlJc w:val="left"/>
      <w:pPr>
        <w:ind w:left="0" w:firstLine="402"/>
      </w:pPr>
      <w:rPr>
        <w:rFonts w:hint="eastAsia"/>
      </w:rPr>
    </w:lvl>
    <w:lvl w:ilvl="5" w:tentative="0">
      <w:start w:val="1"/>
      <w:numFmt w:val="decimal"/>
      <w:pStyle w:val="9"/>
      <w:suff w:val="nothing"/>
      <w:lvlText w:val="%6）"/>
      <w:lvlJc w:val="left"/>
      <w:pPr>
        <w:ind w:left="0" w:firstLine="402"/>
      </w:pPr>
      <w:rPr>
        <w:rFonts w:hint="eastAsia"/>
      </w:rPr>
    </w:lvl>
    <w:lvl w:ilvl="6" w:tentative="0">
      <w:start w:val="1"/>
      <w:numFmt w:val="lowerLetter"/>
      <w:pStyle w:val="10"/>
      <w:suff w:val="nothing"/>
      <w:lvlText w:val="%7．"/>
      <w:lvlJc w:val="left"/>
      <w:pPr>
        <w:ind w:left="0" w:firstLine="402"/>
      </w:pPr>
      <w:rPr>
        <w:rFonts w:hint="eastAsia"/>
      </w:rPr>
    </w:lvl>
    <w:lvl w:ilvl="7" w:tentative="0">
      <w:start w:val="1"/>
      <w:numFmt w:val="lowerLetter"/>
      <w:pStyle w:val="11"/>
      <w:suff w:val="nothing"/>
      <w:lvlText w:val="%8）"/>
      <w:lvlJc w:val="left"/>
      <w:pPr>
        <w:ind w:left="0" w:firstLine="402"/>
      </w:pPr>
      <w:rPr>
        <w:rFonts w:hint="eastAsia"/>
      </w:rPr>
    </w:lvl>
    <w:lvl w:ilvl="8" w:tentative="0">
      <w:start w:val="1"/>
      <w:numFmt w:val="lowerRoman"/>
      <w:pStyle w:val="12"/>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00172A27"/>
    <w:rsid w:val="000D34BB"/>
    <w:rsid w:val="00172A27"/>
    <w:rsid w:val="002D1099"/>
    <w:rsid w:val="006C5A2F"/>
    <w:rsid w:val="008113F1"/>
    <w:rsid w:val="008B7CF0"/>
    <w:rsid w:val="00914361"/>
    <w:rsid w:val="00F02F21"/>
    <w:rsid w:val="00F3407F"/>
    <w:rsid w:val="013C30B7"/>
    <w:rsid w:val="01A57F36"/>
    <w:rsid w:val="023F0F46"/>
    <w:rsid w:val="03AB7901"/>
    <w:rsid w:val="03DA4097"/>
    <w:rsid w:val="04500383"/>
    <w:rsid w:val="046E046D"/>
    <w:rsid w:val="05020F8F"/>
    <w:rsid w:val="06766115"/>
    <w:rsid w:val="076569CD"/>
    <w:rsid w:val="08122664"/>
    <w:rsid w:val="081564DB"/>
    <w:rsid w:val="08B070E4"/>
    <w:rsid w:val="092A5646"/>
    <w:rsid w:val="09693B96"/>
    <w:rsid w:val="0A17403E"/>
    <w:rsid w:val="0AA566C4"/>
    <w:rsid w:val="0B032BA3"/>
    <w:rsid w:val="0BD274A5"/>
    <w:rsid w:val="0D8439FE"/>
    <w:rsid w:val="0E0042AD"/>
    <w:rsid w:val="0E664872"/>
    <w:rsid w:val="0EEC63DE"/>
    <w:rsid w:val="105D4C8E"/>
    <w:rsid w:val="106D4A89"/>
    <w:rsid w:val="118738E3"/>
    <w:rsid w:val="11D03B9B"/>
    <w:rsid w:val="13712EB0"/>
    <w:rsid w:val="13B36581"/>
    <w:rsid w:val="13EF32B1"/>
    <w:rsid w:val="15B6242D"/>
    <w:rsid w:val="176C2BB7"/>
    <w:rsid w:val="1915445F"/>
    <w:rsid w:val="19792C78"/>
    <w:rsid w:val="1DD443CA"/>
    <w:rsid w:val="1DEF2178"/>
    <w:rsid w:val="1E783591"/>
    <w:rsid w:val="1EDE1C28"/>
    <w:rsid w:val="1FDB7DB2"/>
    <w:rsid w:val="20315DD9"/>
    <w:rsid w:val="22FF7A35"/>
    <w:rsid w:val="237C27AE"/>
    <w:rsid w:val="242C2DF9"/>
    <w:rsid w:val="25012038"/>
    <w:rsid w:val="25BA38DC"/>
    <w:rsid w:val="25E75E13"/>
    <w:rsid w:val="26081591"/>
    <w:rsid w:val="2625355A"/>
    <w:rsid w:val="287076C4"/>
    <w:rsid w:val="293F224C"/>
    <w:rsid w:val="29885326"/>
    <w:rsid w:val="29BD454B"/>
    <w:rsid w:val="2BF15CE4"/>
    <w:rsid w:val="2D2836D6"/>
    <w:rsid w:val="2F8A3A03"/>
    <w:rsid w:val="30385ABC"/>
    <w:rsid w:val="309E3D25"/>
    <w:rsid w:val="30DB4718"/>
    <w:rsid w:val="3144344A"/>
    <w:rsid w:val="32F862B4"/>
    <w:rsid w:val="339D76E7"/>
    <w:rsid w:val="357238F7"/>
    <w:rsid w:val="380053AA"/>
    <w:rsid w:val="381A1632"/>
    <w:rsid w:val="38C22508"/>
    <w:rsid w:val="393D1514"/>
    <w:rsid w:val="39D72345"/>
    <w:rsid w:val="3A0C2CBB"/>
    <w:rsid w:val="3A2105C2"/>
    <w:rsid w:val="3A5C2722"/>
    <w:rsid w:val="3AB07FCD"/>
    <w:rsid w:val="3C3C57EA"/>
    <w:rsid w:val="3C8F3AAB"/>
    <w:rsid w:val="3D7B1B13"/>
    <w:rsid w:val="3D9B595E"/>
    <w:rsid w:val="3FE41F12"/>
    <w:rsid w:val="42B753BE"/>
    <w:rsid w:val="430D1C8A"/>
    <w:rsid w:val="43980DB3"/>
    <w:rsid w:val="44AF6B13"/>
    <w:rsid w:val="464C48A9"/>
    <w:rsid w:val="47653A42"/>
    <w:rsid w:val="47C6684B"/>
    <w:rsid w:val="48C3324F"/>
    <w:rsid w:val="49DA272C"/>
    <w:rsid w:val="49E51B21"/>
    <w:rsid w:val="4A994EE3"/>
    <w:rsid w:val="4B94424A"/>
    <w:rsid w:val="4BB501E6"/>
    <w:rsid w:val="4BB7159E"/>
    <w:rsid w:val="4C0E74D6"/>
    <w:rsid w:val="4C1662EE"/>
    <w:rsid w:val="4DEE1375"/>
    <w:rsid w:val="4F3A188D"/>
    <w:rsid w:val="4FAE3E40"/>
    <w:rsid w:val="4FE3537B"/>
    <w:rsid w:val="510475F3"/>
    <w:rsid w:val="51714D0B"/>
    <w:rsid w:val="51AB250E"/>
    <w:rsid w:val="52AA0445"/>
    <w:rsid w:val="5551191B"/>
    <w:rsid w:val="556E742F"/>
    <w:rsid w:val="55E2376A"/>
    <w:rsid w:val="55F16B82"/>
    <w:rsid w:val="577446E9"/>
    <w:rsid w:val="57B94B8F"/>
    <w:rsid w:val="57E32249"/>
    <w:rsid w:val="58414118"/>
    <w:rsid w:val="5AC52BAD"/>
    <w:rsid w:val="5AD54B55"/>
    <w:rsid w:val="5C441457"/>
    <w:rsid w:val="5CD207B0"/>
    <w:rsid w:val="5D696CF0"/>
    <w:rsid w:val="5D941A1D"/>
    <w:rsid w:val="5F033932"/>
    <w:rsid w:val="61271BBA"/>
    <w:rsid w:val="629C2BE7"/>
    <w:rsid w:val="63CC759F"/>
    <w:rsid w:val="6552432B"/>
    <w:rsid w:val="66060C05"/>
    <w:rsid w:val="665F3E6D"/>
    <w:rsid w:val="66950E6D"/>
    <w:rsid w:val="66F4651A"/>
    <w:rsid w:val="66FD0891"/>
    <w:rsid w:val="67DD3F80"/>
    <w:rsid w:val="68180706"/>
    <w:rsid w:val="683E54BC"/>
    <w:rsid w:val="6A26501D"/>
    <w:rsid w:val="6A7E6E7B"/>
    <w:rsid w:val="6B186358"/>
    <w:rsid w:val="6BB30CF6"/>
    <w:rsid w:val="6C382AE1"/>
    <w:rsid w:val="6C8A1C80"/>
    <w:rsid w:val="6DDE2AF6"/>
    <w:rsid w:val="6E1813C4"/>
    <w:rsid w:val="6E55356F"/>
    <w:rsid w:val="6F314AB7"/>
    <w:rsid w:val="6FA36C5B"/>
    <w:rsid w:val="70265F46"/>
    <w:rsid w:val="703640B3"/>
    <w:rsid w:val="7051605B"/>
    <w:rsid w:val="7088025C"/>
    <w:rsid w:val="70B86135"/>
    <w:rsid w:val="71F214BA"/>
    <w:rsid w:val="721C38B7"/>
    <w:rsid w:val="7406244E"/>
    <w:rsid w:val="75110D85"/>
    <w:rsid w:val="759E3B4B"/>
    <w:rsid w:val="763804AD"/>
    <w:rsid w:val="77031528"/>
    <w:rsid w:val="774772DB"/>
    <w:rsid w:val="77E94330"/>
    <w:rsid w:val="7831551C"/>
    <w:rsid w:val="794E06BE"/>
    <w:rsid w:val="79EF0252"/>
    <w:rsid w:val="7B111800"/>
    <w:rsid w:val="7B982BE8"/>
    <w:rsid w:val="7BBE38CE"/>
    <w:rsid w:val="7C3F5FBA"/>
    <w:rsid w:val="7CFF4D43"/>
    <w:rsid w:val="7D381B0F"/>
    <w:rsid w:val="7E2D1FB9"/>
    <w:rsid w:val="7F0B0A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both"/>
    </w:pPr>
    <w:rPr>
      <w:rFonts w:ascii="仿宋" w:hAnsi="仿宋" w:eastAsia="仿宋" w:cstheme="minorBidi"/>
      <w:kern w:val="2"/>
      <w:sz w:val="32"/>
      <w:szCs w:val="22"/>
      <w:lang w:val="en-US" w:eastAsia="zh-CN" w:bidi="ar-SA"/>
    </w:rPr>
  </w:style>
  <w:style w:type="paragraph" w:styleId="4">
    <w:name w:val="heading 1"/>
    <w:basedOn w:val="1"/>
    <w:next w:val="1"/>
    <w:link w:val="24"/>
    <w:qFormat/>
    <w:uiPriority w:val="0"/>
    <w:pPr>
      <w:spacing w:beforeLines="100" w:line="480" w:lineRule="auto"/>
      <w:ind w:firstLine="0" w:firstLineChars="0"/>
      <w:outlineLvl w:val="0"/>
    </w:pPr>
    <w:rPr>
      <w:rFonts w:eastAsia="宋体"/>
      <w:b/>
      <w:bCs/>
      <w:sz w:val="40"/>
      <w:szCs w:val="32"/>
    </w:rPr>
  </w:style>
  <w:style w:type="paragraph" w:styleId="5">
    <w:name w:val="heading 2"/>
    <w:basedOn w:val="1"/>
    <w:next w:val="1"/>
    <w:link w:val="23"/>
    <w:unhideWhenUsed/>
    <w:qFormat/>
    <w:uiPriority w:val="0"/>
    <w:pPr>
      <w:adjustRightInd w:val="0"/>
      <w:snapToGrid w:val="0"/>
      <w:spacing w:beforeLines="88" w:afterLines="88"/>
      <w:ind w:firstLine="0" w:firstLineChars="0"/>
      <w:outlineLvl w:val="1"/>
    </w:pPr>
    <w:rPr>
      <w:rFonts w:eastAsia="宋体" w:cs="Times New Roman" w:asciiTheme="minorHAnsi" w:hAnsiTheme="minorHAnsi"/>
      <w:b/>
      <w:sz w:val="36"/>
      <w:szCs w:val="20"/>
      <w:lang w:val="en-GB"/>
    </w:rPr>
  </w:style>
  <w:style w:type="paragraph" w:styleId="6">
    <w:name w:val="heading 3"/>
    <w:basedOn w:val="1"/>
    <w:next w:val="1"/>
    <w:link w:val="22"/>
    <w:unhideWhenUsed/>
    <w:qFormat/>
    <w:uiPriority w:val="0"/>
    <w:pPr>
      <w:keepNext/>
      <w:keepLines/>
      <w:tabs>
        <w:tab w:val="left" w:pos="0"/>
      </w:tabs>
      <w:spacing w:before="50" w:after="50"/>
      <w:outlineLvl w:val="2"/>
    </w:pPr>
    <w:rPr>
      <w:rFonts w:ascii="宋体" w:hAnsi="宋体" w:eastAsia="宋体" w:cs="Times New Roman"/>
      <w:b/>
      <w:szCs w:val="32"/>
    </w:rPr>
  </w:style>
  <w:style w:type="paragraph" w:styleId="7">
    <w:name w:val="heading 4"/>
    <w:basedOn w:val="1"/>
    <w:next w:val="1"/>
    <w:unhideWhenUsed/>
    <w:qFormat/>
    <w:uiPriority w:val="0"/>
    <w:pPr>
      <w:keepNext/>
      <w:keepLines/>
      <w:numPr>
        <w:ilvl w:val="3"/>
        <w:numId w:val="1"/>
      </w:numPr>
      <w:spacing w:line="372" w:lineRule="auto"/>
      <w:outlineLvl w:val="3"/>
    </w:pPr>
    <w:rPr>
      <w:rFonts w:ascii="Arial" w:hAnsi="Arial" w:eastAsia="黑体"/>
      <w:b/>
      <w:sz w:val="28"/>
    </w:rPr>
  </w:style>
  <w:style w:type="paragraph" w:styleId="8">
    <w:name w:val="heading 5"/>
    <w:basedOn w:val="1"/>
    <w:next w:val="1"/>
    <w:unhideWhenUsed/>
    <w:qFormat/>
    <w:uiPriority w:val="0"/>
    <w:pPr>
      <w:keepNext/>
      <w:keepLines/>
      <w:numPr>
        <w:ilvl w:val="4"/>
        <w:numId w:val="1"/>
      </w:numPr>
      <w:spacing w:line="372" w:lineRule="auto"/>
      <w:outlineLvl w:val="4"/>
    </w:pPr>
    <w:rPr>
      <w:b/>
      <w:sz w:val="28"/>
    </w:rPr>
  </w:style>
  <w:style w:type="paragraph" w:styleId="9">
    <w:name w:val="heading 6"/>
    <w:basedOn w:val="1"/>
    <w:next w:val="1"/>
    <w:unhideWhenUsed/>
    <w:qFormat/>
    <w:uiPriority w:val="0"/>
    <w:pPr>
      <w:keepNext/>
      <w:keepLines/>
      <w:numPr>
        <w:ilvl w:val="5"/>
        <w:numId w:val="1"/>
      </w:numPr>
      <w:spacing w:line="317" w:lineRule="auto"/>
      <w:outlineLvl w:val="5"/>
    </w:pPr>
    <w:rPr>
      <w:rFonts w:ascii="Arial" w:hAnsi="Arial" w:eastAsia="黑体"/>
      <w:b/>
      <w:sz w:val="24"/>
    </w:rPr>
  </w:style>
  <w:style w:type="paragraph" w:styleId="10">
    <w:name w:val="heading 7"/>
    <w:basedOn w:val="1"/>
    <w:next w:val="1"/>
    <w:unhideWhenUsed/>
    <w:qFormat/>
    <w:uiPriority w:val="0"/>
    <w:pPr>
      <w:keepNext/>
      <w:keepLines/>
      <w:numPr>
        <w:ilvl w:val="6"/>
        <w:numId w:val="1"/>
      </w:numPr>
      <w:spacing w:line="317" w:lineRule="auto"/>
      <w:outlineLvl w:val="6"/>
    </w:pPr>
    <w:rPr>
      <w:b/>
      <w:sz w:val="24"/>
    </w:rPr>
  </w:style>
  <w:style w:type="paragraph" w:styleId="11">
    <w:name w:val="heading 8"/>
    <w:basedOn w:val="1"/>
    <w:next w:val="1"/>
    <w:unhideWhenUsed/>
    <w:qFormat/>
    <w:uiPriority w:val="0"/>
    <w:pPr>
      <w:keepNext/>
      <w:keepLines/>
      <w:numPr>
        <w:ilvl w:val="7"/>
        <w:numId w:val="1"/>
      </w:numPr>
      <w:spacing w:line="317" w:lineRule="auto"/>
      <w:outlineLvl w:val="7"/>
    </w:pPr>
    <w:rPr>
      <w:rFonts w:ascii="Arial" w:hAnsi="Arial" w:eastAsia="黑体"/>
      <w:sz w:val="24"/>
    </w:rPr>
  </w:style>
  <w:style w:type="paragraph" w:styleId="12">
    <w:name w:val="heading 9"/>
    <w:basedOn w:val="1"/>
    <w:next w:val="1"/>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line="360" w:lineRule="auto"/>
      <w:ind w:firstLine="567"/>
    </w:pPr>
    <w:rPr>
      <w:rFonts w:ascii="宋体" w:hAnsi="宋体" w:eastAsia="宋体"/>
      <w:color w:val="000000"/>
      <w:u w:color="000000"/>
    </w:rPr>
  </w:style>
  <w:style w:type="paragraph" w:styleId="3">
    <w:name w:val="toc 1"/>
    <w:basedOn w:val="1"/>
    <w:next w:val="1"/>
    <w:qFormat/>
    <w:uiPriority w:val="0"/>
    <w:pPr>
      <w:adjustRightInd w:val="0"/>
      <w:snapToGrid w:val="0"/>
      <w:spacing w:before="120" w:line="288" w:lineRule="auto"/>
      <w:ind w:left="113" w:firstLine="0" w:firstLineChars="0"/>
      <w:jc w:val="left"/>
    </w:pPr>
    <w:rPr>
      <w:rFonts w:ascii="Arial" w:hAnsi="Arial"/>
      <w:bCs/>
      <w:iCs/>
      <w:sz w:val="28"/>
    </w:rPr>
  </w:style>
  <w:style w:type="paragraph" w:styleId="13">
    <w:name w:val="annotation text"/>
    <w:basedOn w:val="1"/>
    <w:qFormat/>
    <w:uiPriority w:val="0"/>
    <w:pPr>
      <w:jc w:val="left"/>
    </w:pPr>
  </w:style>
  <w:style w:type="paragraph" w:styleId="14">
    <w:name w:val="Body Text Indent"/>
    <w:basedOn w:val="1"/>
    <w:qFormat/>
    <w:uiPriority w:val="0"/>
    <w:pPr>
      <w:ind w:left="420" w:leftChars="200"/>
    </w:pPr>
  </w:style>
  <w:style w:type="paragraph" w:styleId="15">
    <w:name w:val="footer"/>
    <w:qFormat/>
    <w:uiPriority w:val="0"/>
    <w:pPr>
      <w:widowControl w:val="0"/>
      <w:tabs>
        <w:tab w:val="center" w:pos="4153"/>
        <w:tab w:val="right" w:pos="8306"/>
      </w:tabs>
      <w:snapToGrid w:val="0"/>
      <w:spacing w:line="560" w:lineRule="exact"/>
      <w:ind w:firstLine="880" w:firstLineChars="200"/>
    </w:pPr>
    <w:rPr>
      <w:rFonts w:ascii="仿宋_GB2312" w:hAnsi="仿宋" w:eastAsia="仿宋_GB2312" w:cs="Times New Roman"/>
      <w:kern w:val="2"/>
      <w:sz w:val="18"/>
      <w:szCs w:val="18"/>
      <w:lang w:val="en-US" w:eastAsia="zh-CN" w:bidi="ar-SA"/>
    </w:rPr>
  </w:style>
  <w:style w:type="paragraph" w:styleId="16">
    <w:name w:val="header"/>
    <w:qFormat/>
    <w:uiPriority w:val="0"/>
    <w:pPr>
      <w:widowControl w:val="0"/>
      <w:tabs>
        <w:tab w:val="center" w:pos="4153"/>
        <w:tab w:val="right" w:pos="8306"/>
      </w:tabs>
      <w:snapToGrid w:val="0"/>
      <w:spacing w:line="620" w:lineRule="exact"/>
      <w:ind w:firstLine="200" w:firstLineChars="200"/>
      <w:jc w:val="center"/>
    </w:pPr>
    <w:rPr>
      <w:rFonts w:ascii="仿宋_GB2312" w:hAnsi="仿宋" w:eastAsia="仿宋_GB2312" w:cs="Times New Roman"/>
      <w:kern w:val="2"/>
      <w:sz w:val="18"/>
      <w:szCs w:val="18"/>
      <w:lang w:val="en-US" w:eastAsia="zh-CN" w:bidi="ar-SA"/>
    </w:rPr>
  </w:style>
  <w:style w:type="paragraph" w:styleId="17">
    <w:name w:val="table of figures"/>
    <w:basedOn w:val="1"/>
    <w:next w:val="1"/>
    <w:qFormat/>
    <w:uiPriority w:val="0"/>
    <w:pPr>
      <w:ind w:left="200" w:leftChars="200" w:hanging="200" w:hangingChars="200"/>
      <w:jc w:val="left"/>
    </w:pPr>
  </w:style>
  <w:style w:type="paragraph" w:styleId="18">
    <w:name w:val="Body Text First Indent 2"/>
    <w:basedOn w:val="14"/>
    <w:next w:val="1"/>
    <w:qFormat/>
    <w:uiPriority w:val="0"/>
    <w:pPr>
      <w:ind w:firstLine="42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标题 3 Char"/>
    <w:link w:val="6"/>
    <w:qFormat/>
    <w:uiPriority w:val="9"/>
    <w:rPr>
      <w:rFonts w:ascii="宋体" w:hAnsi="宋体" w:eastAsia="宋体" w:cs="Times New Roman"/>
      <w:b/>
      <w:szCs w:val="32"/>
    </w:rPr>
  </w:style>
  <w:style w:type="character" w:customStyle="1" w:styleId="23">
    <w:name w:val="标题 2 Char"/>
    <w:link w:val="5"/>
    <w:qFormat/>
    <w:uiPriority w:val="9"/>
    <w:rPr>
      <w:rFonts w:eastAsia="宋体" w:cs="Times New Roman" w:asciiTheme="minorHAnsi" w:hAnsiTheme="minorHAnsi"/>
      <w:b/>
      <w:sz w:val="36"/>
      <w:szCs w:val="20"/>
      <w:lang w:val="en-GB"/>
    </w:rPr>
  </w:style>
  <w:style w:type="character" w:customStyle="1" w:styleId="24">
    <w:name w:val="标题 1 Char"/>
    <w:link w:val="4"/>
    <w:qFormat/>
    <w:uiPriority w:val="9"/>
    <w:rPr>
      <w:rFonts w:ascii="仿宋" w:hAnsi="仿宋" w:eastAsia="宋体" w:cs="仿宋"/>
      <w:b/>
      <w:bCs/>
      <w:kern w:val="44"/>
      <w:sz w:val="40"/>
      <w:szCs w:val="44"/>
      <w:lang w:val="zh-CN" w:bidi="zh-CN"/>
    </w:rPr>
  </w:style>
  <w:style w:type="paragraph" w:customStyle="1" w:styleId="25">
    <w:name w:val="页眉与页脚"/>
    <w:qFormat/>
    <w:uiPriority w:val="0"/>
    <w:pPr>
      <w:tabs>
        <w:tab w:val="right" w:pos="9020"/>
      </w:tabs>
    </w:pPr>
    <w:rPr>
      <w:rFonts w:ascii="Helvetica Neue" w:hAnsi="Helvetica Neue" w:eastAsia="Helvetica Neue" w:cs="Helvetica Neue"/>
      <w:color w:val="000000"/>
      <w:sz w:val="24"/>
      <w:szCs w:val="24"/>
      <w:lang w:val="en-US" w:eastAsia="zh-CN" w:bidi="ar-SA"/>
    </w:rPr>
  </w:style>
  <w:style w:type="paragraph" w:customStyle="1" w:styleId="26">
    <w:name w:val="页眉与页脚 B"/>
    <w:qFormat/>
    <w:uiPriority w:val="0"/>
    <w:pPr>
      <w:widowControl w:val="0"/>
      <w:tabs>
        <w:tab w:val="right" w:pos="9020"/>
      </w:tabs>
      <w:jc w:val="both"/>
    </w:pPr>
    <w:rPr>
      <w:rFonts w:ascii="Helvetica Neue" w:hAnsi="Helvetica Neue" w:eastAsia="Helvetica Neue" w:cs="Helvetica Neue"/>
      <w:color w:val="000000"/>
      <w:sz w:val="24"/>
      <w:szCs w:val="24"/>
      <w:lang w:val="en-US" w:eastAsia="zh-CN" w:bidi="ar-SA"/>
    </w:rPr>
  </w:style>
  <w:style w:type="character" w:customStyle="1" w:styleId="27">
    <w:name w:val="font51"/>
    <w:basedOn w:val="21"/>
    <w:qFormat/>
    <w:uiPriority w:val="0"/>
    <w:rPr>
      <w:rFonts w:ascii="华文仿宋" w:hAnsi="华文仿宋" w:eastAsia="华文仿宋" w:cs="华文仿宋"/>
      <w:color w:val="000000"/>
      <w:sz w:val="16"/>
      <w:szCs w:val="16"/>
      <w:u w:val="none"/>
    </w:rPr>
  </w:style>
  <w:style w:type="character" w:customStyle="1" w:styleId="28">
    <w:name w:val="font01"/>
    <w:basedOn w:val="21"/>
    <w:qFormat/>
    <w:uiPriority w:val="0"/>
    <w:rPr>
      <w:rFonts w:hint="default" w:ascii="Arial Narrow" w:hAnsi="Arial Narrow" w:eastAsia="Arial Narrow" w:cs="Arial Narrow"/>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2313</Words>
  <Characters>3043</Characters>
  <Lines>31</Lines>
  <Paragraphs>22</Paragraphs>
  <TotalTime>89</TotalTime>
  <ScaleCrop>false</ScaleCrop>
  <LinksUpToDate>false</LinksUpToDate>
  <CharactersWithSpaces>3263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2019-12-06T07:59:00Z</dcterms:created>
  <dc:creator>对天爱</dc:creator>
  <cp:lastModifiedBy>LIAOKE</cp:lastModifiedBy>
  <cp:lastPrinted>2026-08-12T07:30:39Z</cp:lastPrinted>
  <dcterms:modified xsi:type="dcterms:W3CDTF">2026-08-12T09:30:55Z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CCEAE3801A294611A9C24C2C57C5E499_13</vt:lpwstr>
  </property>
  <property fmtid="{D5CDD505-2E9C-101B-9397-08002B2CF9AE}" pid="4" name="KSOTemplateDocerSaveRecord">
    <vt:lpwstr>eyJoZGlkIjoiZGYwZmY4MmM0ZmYxNzlkMjc5ZWM3MjRiNjRhOGM0YWIiLCJ1c2VySWQiOiIxMzM0ODc3NjY0In0=</vt:lpwstr>
  </property>
</Properties>
</file>